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仿宋"/>
          <w:b/>
          <w:sz w:val="32"/>
          <w:szCs w:val="32"/>
        </w:rPr>
      </w:pPr>
      <w:bookmarkStart w:id="5" w:name="_GoBack"/>
      <w:bookmarkEnd w:id="5"/>
      <w:r>
        <w:rPr>
          <w:rFonts w:hint="eastAsia" w:ascii="宋体" w:hAnsi="宋体" w:eastAsia="宋体" w:cs="仿宋"/>
          <w:b/>
          <w:sz w:val="32"/>
          <w:szCs w:val="32"/>
        </w:rPr>
        <w:t>江苏省中等职业学校会计专业类</w:t>
      </w:r>
    </w:p>
    <w:p>
      <w:pPr>
        <w:spacing w:line="520" w:lineRule="exact"/>
        <w:jc w:val="center"/>
        <w:rPr>
          <w:rFonts w:ascii="宋体" w:hAnsi="宋体" w:eastAsia="宋体" w:cs="仿宋"/>
          <w:b/>
          <w:sz w:val="32"/>
          <w:szCs w:val="32"/>
        </w:rPr>
      </w:pPr>
      <w:r>
        <w:rPr>
          <w:rFonts w:hint="eastAsia" w:ascii="宋体" w:hAnsi="宋体" w:eastAsia="宋体" w:cs="仿宋"/>
          <w:b/>
          <w:sz w:val="32"/>
          <w:szCs w:val="32"/>
        </w:rPr>
        <w:t>课程指导方案（试行）</w:t>
      </w:r>
    </w:p>
    <w:p>
      <w:pPr>
        <w:spacing w:line="400" w:lineRule="exact"/>
        <w:ind w:firstLine="482" w:firstLineChars="200"/>
        <w:rPr>
          <w:rFonts w:ascii="宋体" w:hAnsi="宋体" w:eastAsia="宋体" w:cs="仿宋"/>
          <w:b/>
          <w:sz w:val="24"/>
        </w:rPr>
      </w:pPr>
    </w:p>
    <w:p>
      <w:pPr>
        <w:spacing w:line="400" w:lineRule="exact"/>
        <w:ind w:firstLine="480" w:firstLineChars="200"/>
        <w:rPr>
          <w:rFonts w:ascii="宋体" w:hAnsi="宋体" w:eastAsia="宋体" w:cs="仿宋"/>
          <w:sz w:val="24"/>
        </w:rPr>
      </w:pPr>
      <w:r>
        <w:rPr>
          <w:rFonts w:hint="eastAsia" w:ascii="宋体" w:hAnsi="宋体" w:eastAsia="宋体" w:cs="仿宋"/>
          <w:sz w:val="24"/>
        </w:rPr>
        <w:t>为适应江苏经济社会发展对复合型技术技能人才的需求，以及我省中等职业学校按专业类招生培养和教学评价的改革趋势，凸显中等职业教育“宽口径、厚基础”的人才培养定位，构建以促进学生发展为中心的课程教学体系，提高基于专业类的中等职业学校人才培养质量，特制订本专业类课程指导方案。</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一、专业类名称及专业范围</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w:t>
      </w:r>
      <w:r>
        <w:rPr>
          <w:rFonts w:ascii="宋体" w:hAnsi="宋体" w:eastAsia="宋体" w:cs="仿宋"/>
          <w:b/>
          <w:sz w:val="24"/>
        </w:rPr>
        <w:t>专业类名称及代码</w:t>
      </w:r>
    </w:p>
    <w:p>
      <w:pPr>
        <w:spacing w:line="400" w:lineRule="exact"/>
        <w:ind w:firstLine="480" w:firstLineChars="200"/>
        <w:rPr>
          <w:rFonts w:ascii="宋体" w:hAnsi="宋体" w:eastAsia="宋体" w:cs="仿宋"/>
          <w:sz w:val="24"/>
        </w:rPr>
      </w:pPr>
      <w:r>
        <w:rPr>
          <w:rFonts w:hint="eastAsia" w:ascii="宋体" w:hAnsi="宋体" w:eastAsia="宋体" w:cs="仿宋"/>
          <w:sz w:val="24"/>
        </w:rPr>
        <w:t>会计类（代码：13）</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（二）专业范围</w:t>
      </w:r>
    </w:p>
    <w:p>
      <w:pPr>
        <w:spacing w:line="400" w:lineRule="exact"/>
        <w:ind w:firstLine="480" w:firstLineChars="200"/>
        <w:rPr>
          <w:rFonts w:ascii="宋体" w:hAnsi="宋体" w:eastAsia="宋体" w:cs="仿宋"/>
          <w:sz w:val="24"/>
        </w:rPr>
      </w:pPr>
      <w:r>
        <w:rPr>
          <w:rFonts w:hint="eastAsia" w:ascii="宋体" w:hAnsi="宋体" w:eastAsia="宋体" w:cs="仿宋"/>
          <w:sz w:val="24"/>
        </w:rPr>
        <w:t>会计事务（</w:t>
      </w:r>
      <w:r>
        <w:rPr>
          <w:rFonts w:ascii="宋体" w:hAnsi="宋体" w:eastAsia="宋体" w:cs="仿宋"/>
          <w:sz w:val="24"/>
        </w:rPr>
        <w:t>730301</w:t>
      </w:r>
      <w:r>
        <w:rPr>
          <w:rFonts w:hint="eastAsia" w:ascii="宋体" w:hAnsi="宋体" w:eastAsia="宋体" w:cs="仿宋"/>
          <w:sz w:val="24"/>
        </w:rPr>
        <w:t>）、统计事务（730401）、金融事务（</w:t>
      </w:r>
      <w:r>
        <w:rPr>
          <w:rFonts w:ascii="宋体" w:hAnsi="宋体" w:eastAsia="宋体" w:cs="仿宋"/>
          <w:sz w:val="24"/>
        </w:rPr>
        <w:t>730201</w:t>
      </w:r>
      <w:r>
        <w:rPr>
          <w:rFonts w:hint="eastAsia" w:ascii="宋体" w:hAnsi="宋体" w:eastAsia="宋体" w:cs="仿宋"/>
          <w:sz w:val="24"/>
        </w:rPr>
        <w:t>）等。</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二、行业及职业面向</w:t>
      </w:r>
    </w:p>
    <w:p>
      <w:pPr>
        <w:spacing w:line="400" w:lineRule="exact"/>
        <w:ind w:firstLine="480" w:firstLineChars="200"/>
        <w:rPr>
          <w:rFonts w:ascii="宋体" w:hAnsi="宋体" w:eastAsia="宋体" w:cs="仿宋"/>
          <w:sz w:val="24"/>
        </w:rPr>
      </w:pPr>
      <w:r>
        <w:rPr>
          <w:rFonts w:hint="eastAsia" w:ascii="宋体" w:hAnsi="宋体" w:eastAsia="宋体" w:cs="仿宋"/>
          <w:sz w:val="24"/>
        </w:rPr>
        <w:t>依据《国民经济行业分类》（2019修改版），以及江苏会计、金融业、统计等服务行业发展特点，梳理出江苏中等职业教育会计类专业的行业面向及其在区域生产（经济）实际中的比重，以及会计类专业的主要职业面向，具体见表1。</w:t>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表1</w:t>
      </w:r>
      <w:r>
        <w:rPr>
          <w:rFonts w:ascii="宋体" w:hAnsi="宋体" w:eastAsia="宋体" w:cs="仿宋"/>
          <w:b/>
          <w:sz w:val="24"/>
          <w:szCs w:val="24"/>
        </w:rPr>
        <w:t xml:space="preserve"> </w:t>
      </w:r>
      <w:r>
        <w:rPr>
          <w:rFonts w:hint="eastAsia" w:ascii="宋体" w:hAnsi="宋体" w:eastAsia="宋体" w:cs="仿宋"/>
          <w:b/>
          <w:sz w:val="24"/>
          <w:szCs w:val="24"/>
        </w:rPr>
        <w:t>江苏省会计、金融、统计等相关行业及职业面向分析表</w:t>
      </w:r>
    </w:p>
    <w:tbl>
      <w:tblPr>
        <w:tblStyle w:val="23"/>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17"/>
        <w:gridCol w:w="2228"/>
        <w:gridCol w:w="164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3" w:type="dxa"/>
            <w:gridSpan w:val="3"/>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行业类别</w:t>
            </w:r>
          </w:p>
        </w:tc>
        <w:tc>
          <w:tcPr>
            <w:tcW w:w="1643" w:type="dxa"/>
            <w:vMerge w:val="restart"/>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区域生产（经济）实际中的比重和地位</w:t>
            </w:r>
          </w:p>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restart"/>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主要职业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大类</w:t>
            </w:r>
          </w:p>
        </w:tc>
        <w:tc>
          <w:tcPr>
            <w:tcW w:w="1417"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中类</w:t>
            </w:r>
          </w:p>
        </w:tc>
        <w:tc>
          <w:tcPr>
            <w:tcW w:w="2228" w:type="dxa"/>
            <w:shd w:val="clear" w:color="auto" w:fill="auto"/>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小类</w:t>
            </w:r>
          </w:p>
          <w:p>
            <w:pPr>
              <w:spacing w:line="0" w:lineRule="atLeast"/>
              <w:jc w:val="center"/>
              <w:rPr>
                <w:rFonts w:ascii="宋体" w:hAnsi="宋体" w:eastAsia="宋体" w:cs="Times New Roman"/>
                <w:b/>
                <w:szCs w:val="21"/>
              </w:rPr>
            </w:pPr>
            <w:r>
              <w:rPr>
                <w:rFonts w:hint="eastAsia" w:ascii="宋体" w:hAnsi="宋体" w:eastAsia="宋体" w:cs="Times New Roman"/>
                <w:b/>
                <w:bCs/>
                <w:szCs w:val="21"/>
              </w:rPr>
              <w:t>（生产或经济领域）</w:t>
            </w:r>
          </w:p>
        </w:tc>
        <w:tc>
          <w:tcPr>
            <w:tcW w:w="1643" w:type="dxa"/>
            <w:vMerge w:val="continue"/>
            <w:vAlign w:val="center"/>
          </w:tcPr>
          <w:p>
            <w:pPr>
              <w:spacing w:line="0" w:lineRule="atLeast"/>
              <w:jc w:val="center"/>
              <w:rPr>
                <w:rFonts w:ascii="宋体" w:hAnsi="宋体" w:eastAsia="宋体" w:cs="Times New Roman"/>
                <w:b/>
                <w:szCs w:val="21"/>
              </w:rPr>
            </w:pPr>
          </w:p>
        </w:tc>
        <w:tc>
          <w:tcPr>
            <w:tcW w:w="2118" w:type="dxa"/>
            <w:vMerge w:val="continue"/>
            <w:vAlign w:val="center"/>
          </w:tcPr>
          <w:p>
            <w:pPr>
              <w:spacing w:line="0" w:lineRule="atLeast"/>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eastAsia="宋体" w:cs="Times New Roman"/>
                <w:b/>
                <w:szCs w:val="21"/>
              </w:rPr>
            </w:pPr>
            <w:r>
              <w:rPr>
                <w:rFonts w:hint="eastAsia" w:ascii="宋体" w:hAnsi="宋体" w:eastAsia="宋体" w:cs="Times New Roman"/>
                <w:szCs w:val="21"/>
              </w:rPr>
              <w:t>商务服务业</w:t>
            </w:r>
          </w:p>
        </w:tc>
        <w:tc>
          <w:tcPr>
            <w:tcW w:w="1417"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组织管理服务</w:t>
            </w:r>
          </w:p>
        </w:tc>
        <w:tc>
          <w:tcPr>
            <w:tcW w:w="2228" w:type="dxa"/>
            <w:shd w:val="clear" w:color="auto" w:fill="auto"/>
            <w:vAlign w:val="center"/>
          </w:tcPr>
          <w:p>
            <w:pPr>
              <w:spacing w:line="0" w:lineRule="atLeast"/>
              <w:jc w:val="left"/>
              <w:rPr>
                <w:rFonts w:ascii="宋体" w:hAnsi="宋体" w:eastAsia="宋体" w:cs="Times New Roman"/>
                <w:szCs w:val="21"/>
              </w:rPr>
            </w:pPr>
            <w:r>
              <w:rPr>
                <w:rFonts w:hint="eastAsia" w:ascii="宋体" w:hAnsi="宋体" w:eastAsia="宋体" w:cs="Times New Roman"/>
                <w:szCs w:val="21"/>
              </w:rPr>
              <w:t>农村集体经济组织管理</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tcPr>
          <w:p>
            <w:pPr>
              <w:spacing w:line="0" w:lineRule="atLeast"/>
              <w:rPr>
                <w:rFonts w:ascii="宋体" w:hAnsi="宋体" w:eastAsia="宋体" w:cs="Times New Roman"/>
                <w:szCs w:val="21"/>
              </w:rPr>
            </w:pPr>
            <w:r>
              <w:rPr>
                <w:rFonts w:hint="eastAsia" w:ascii="宋体" w:hAnsi="宋体" w:eastAsia="宋体" w:cs="Times New Roman"/>
                <w:szCs w:val="21"/>
              </w:rPr>
              <w:t>合作经济专业人员、统计专业人员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咨询与调查</w:t>
            </w:r>
          </w:p>
        </w:tc>
        <w:tc>
          <w:tcPr>
            <w:tcW w:w="2228" w:type="dxa"/>
            <w:shd w:val="clear" w:color="auto" w:fill="auto"/>
            <w:vAlign w:val="center"/>
          </w:tcPr>
          <w:p>
            <w:pPr>
              <w:spacing w:line="0" w:lineRule="atLeast"/>
              <w:jc w:val="left"/>
              <w:rPr>
                <w:rFonts w:ascii="宋体" w:hAnsi="宋体" w:eastAsia="宋体" w:cs="Times New Roman"/>
                <w:szCs w:val="21"/>
              </w:rPr>
            </w:pPr>
            <w:r>
              <w:rPr>
                <w:rFonts w:hint="eastAsia" w:ascii="宋体" w:hAnsi="宋体" w:eastAsia="宋体" w:cs="Times New Roman"/>
                <w:szCs w:val="21"/>
              </w:rPr>
              <w:t>会计、审计及税务服务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tcPr>
          <w:p>
            <w:pPr>
              <w:spacing w:line="0" w:lineRule="atLeast"/>
              <w:rPr>
                <w:rFonts w:ascii="宋体" w:hAnsi="宋体" w:eastAsia="宋体" w:cs="Times New Roman"/>
                <w:szCs w:val="21"/>
              </w:rPr>
            </w:pPr>
            <w:r>
              <w:rPr>
                <w:rFonts w:hint="eastAsia" w:ascii="宋体" w:hAnsi="宋体" w:eastAsia="宋体" w:cs="Times New Roman"/>
                <w:szCs w:val="21"/>
              </w:rPr>
              <w:t>会计专业人员、审计专业人员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eastAsia="宋体" w:cs="Times New Roman"/>
                <w:szCs w:val="21"/>
              </w:rPr>
            </w:pPr>
            <w:r>
              <w:rPr>
                <w:rFonts w:hint="eastAsia" w:ascii="宋体" w:hAnsi="宋体" w:eastAsia="宋体" w:cs="Times New Roman"/>
                <w:szCs w:val="21"/>
              </w:rPr>
              <w:t>金融业（货币金融服务）</w:t>
            </w:r>
          </w:p>
        </w:tc>
        <w:tc>
          <w:tcPr>
            <w:tcW w:w="1417" w:type="dxa"/>
            <w:vMerge w:val="restart"/>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货币银行服务</w:t>
            </w:r>
          </w:p>
        </w:tc>
        <w:tc>
          <w:tcPr>
            <w:tcW w:w="2228" w:type="dxa"/>
            <w:shd w:val="clear" w:color="auto" w:fill="auto"/>
            <w:vAlign w:val="center"/>
          </w:tcPr>
          <w:p>
            <w:pPr>
              <w:spacing w:line="0" w:lineRule="atLeast"/>
              <w:jc w:val="left"/>
              <w:rPr>
                <w:rFonts w:ascii="宋体" w:hAnsi="宋体" w:eastAsia="宋体" w:cs="仿宋"/>
                <w:kern w:val="0"/>
                <w:szCs w:val="21"/>
              </w:rPr>
            </w:pPr>
            <w:r>
              <w:rPr>
                <w:rFonts w:ascii="宋体" w:hAnsi="宋体" w:eastAsia="宋体" w:cs="仿宋"/>
                <w:kern w:val="0"/>
                <w:szCs w:val="21"/>
              </w:rPr>
              <w:t>商业银行服务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restart"/>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金融专业人员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仿宋"/>
                <w:kern w:val="0"/>
                <w:szCs w:val="21"/>
              </w:rPr>
            </w:pPr>
          </w:p>
        </w:tc>
        <w:tc>
          <w:tcPr>
            <w:tcW w:w="2228" w:type="dxa"/>
            <w:shd w:val="clear" w:color="auto" w:fill="auto"/>
            <w:vAlign w:val="center"/>
          </w:tcPr>
          <w:p>
            <w:pPr>
              <w:spacing w:line="0" w:lineRule="atLeast"/>
              <w:jc w:val="left"/>
              <w:rPr>
                <w:rFonts w:ascii="宋体" w:hAnsi="宋体" w:eastAsia="宋体" w:cs="仿宋"/>
                <w:kern w:val="0"/>
                <w:szCs w:val="21"/>
              </w:rPr>
            </w:pPr>
            <w:r>
              <w:rPr>
                <w:rFonts w:ascii="宋体" w:hAnsi="宋体" w:eastAsia="宋体" w:cs="仿宋"/>
                <w:kern w:val="0"/>
                <w:szCs w:val="21"/>
              </w:rPr>
              <w:t>信用合作社服务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restart"/>
            <w:vAlign w:val="center"/>
          </w:tcPr>
          <w:p>
            <w:pPr>
              <w:spacing w:line="0" w:lineRule="atLeast"/>
              <w:rPr>
                <w:rFonts w:ascii="宋体" w:hAnsi="宋体" w:eastAsia="宋体" w:cs="Times New Roman"/>
                <w:szCs w:val="21"/>
              </w:rPr>
            </w:pPr>
            <w:r>
              <w:rPr>
                <w:rFonts w:hint="eastAsia" w:ascii="宋体" w:hAnsi="宋体" w:eastAsia="宋体" w:cs="Times New Roman"/>
                <w:szCs w:val="21"/>
              </w:rPr>
              <w:t>非货币银行服务</w:t>
            </w:r>
          </w:p>
        </w:tc>
        <w:tc>
          <w:tcPr>
            <w:tcW w:w="2228" w:type="dxa"/>
            <w:shd w:val="clear" w:color="auto" w:fill="auto"/>
            <w:vAlign w:val="center"/>
          </w:tcPr>
          <w:p>
            <w:pPr>
              <w:spacing w:line="0" w:lineRule="atLeast"/>
              <w:jc w:val="left"/>
              <w:rPr>
                <w:rFonts w:ascii="宋体" w:hAnsi="宋体" w:eastAsia="宋体" w:cs="Times New Roman"/>
                <w:szCs w:val="21"/>
              </w:rPr>
            </w:pPr>
            <w:r>
              <w:rPr>
                <w:rFonts w:ascii="宋体" w:hAnsi="宋体" w:eastAsia="宋体" w:cs="Times New Roman"/>
                <w:szCs w:val="21"/>
              </w:rPr>
              <w:t>融资租赁服务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jc w:val="left"/>
              <w:rPr>
                <w:rFonts w:ascii="宋体" w:hAnsi="宋体" w:eastAsia="宋体" w:cs="Times New Roman"/>
                <w:szCs w:val="21"/>
              </w:rPr>
            </w:pPr>
            <w:r>
              <w:rPr>
                <w:rFonts w:hint="eastAsia" w:ascii="宋体" w:hAnsi="宋体" w:eastAsia="宋体" w:cs="Times New Roman"/>
                <w:szCs w:val="21"/>
              </w:rPr>
              <w:t>财务公司服务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jc w:val="left"/>
              <w:rPr>
                <w:rFonts w:ascii="宋体" w:hAnsi="宋体" w:eastAsia="宋体" w:cs="Times New Roman"/>
                <w:szCs w:val="21"/>
              </w:rPr>
            </w:pPr>
            <w:r>
              <w:rPr>
                <w:rFonts w:hint="eastAsia" w:ascii="宋体" w:hAnsi="宋体" w:eastAsia="宋体" w:cs="Times New Roman"/>
                <w:szCs w:val="21"/>
              </w:rPr>
              <w:t>典当</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jc w:val="left"/>
              <w:rPr>
                <w:rFonts w:ascii="宋体" w:hAnsi="宋体" w:eastAsia="宋体" w:cs="Times New Roman"/>
                <w:szCs w:val="21"/>
              </w:rPr>
            </w:pPr>
            <w:r>
              <w:rPr>
                <w:rFonts w:hint="eastAsia" w:ascii="宋体" w:hAnsi="宋体" w:eastAsia="宋体" w:cs="Times New Roman"/>
                <w:szCs w:val="21"/>
              </w:rPr>
              <w:t>汽车金融公司服务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小额贷款公司服务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消费金融公司服务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网络借贷服务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银行理财服务</w:t>
            </w: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银行理财服务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eastAsia="宋体" w:cs="Times New Roman"/>
                <w:szCs w:val="21"/>
              </w:rPr>
            </w:pPr>
            <w:r>
              <w:rPr>
                <w:rFonts w:ascii="宋体" w:hAnsi="宋体" w:eastAsia="宋体" w:cs="Times New Roman"/>
                <w:szCs w:val="21"/>
              </w:rPr>
              <w:t>金融业（资本市场服务）</w:t>
            </w: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证券市场服务</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证券经纪交易服务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公开募集证券投资基金</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公开募集证券投资基金</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restart"/>
            <w:vAlign w:val="center"/>
          </w:tcPr>
          <w:p>
            <w:pPr>
              <w:spacing w:line="0" w:lineRule="atLeast"/>
              <w:rPr>
                <w:rFonts w:ascii="宋体" w:hAnsi="宋体" w:eastAsia="宋体" w:cs="Times New Roman"/>
                <w:szCs w:val="21"/>
              </w:rPr>
            </w:pPr>
            <w:r>
              <w:rPr>
                <w:rFonts w:hint="eastAsia" w:ascii="宋体" w:hAnsi="宋体" w:eastAsia="宋体" w:cs="Times New Roman"/>
                <w:szCs w:val="21"/>
              </w:rPr>
              <w:t>非公开募集证券投资基金</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创业投资基金</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天使投资</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其他非公开募集证券投资基金</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期货市场服务</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期货市场管理服务</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eastAsia="宋体" w:cs="Times New Roman"/>
                <w:szCs w:val="21"/>
              </w:rPr>
            </w:pPr>
            <w:r>
              <w:rPr>
                <w:rFonts w:ascii="宋体" w:hAnsi="宋体" w:eastAsia="宋体" w:cs="Times New Roman"/>
                <w:szCs w:val="21"/>
              </w:rPr>
              <w:t>金融业（保险业）</w:t>
            </w:r>
          </w:p>
        </w:tc>
        <w:tc>
          <w:tcPr>
            <w:tcW w:w="1417" w:type="dxa"/>
            <w:vMerge w:val="restart"/>
            <w:vAlign w:val="center"/>
          </w:tcPr>
          <w:p>
            <w:pPr>
              <w:spacing w:line="0" w:lineRule="atLeast"/>
              <w:rPr>
                <w:rFonts w:ascii="宋体" w:hAnsi="宋体" w:eastAsia="宋体" w:cs="Times New Roman"/>
                <w:szCs w:val="21"/>
              </w:rPr>
            </w:pPr>
            <w:r>
              <w:rPr>
                <w:rFonts w:ascii="宋体" w:hAnsi="宋体" w:eastAsia="宋体" w:cs="Times New Roman"/>
                <w:szCs w:val="21"/>
              </w:rPr>
              <w:t>人身保险</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人寿保险</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年金保险</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健康保险</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意外伤害保险</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财产保险</w:t>
            </w: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财产保险</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再保险</w:t>
            </w: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再保险</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商业养老金</w:t>
            </w: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商业养老金</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restart"/>
            <w:vAlign w:val="center"/>
          </w:tcPr>
          <w:p>
            <w:pPr>
              <w:spacing w:line="0" w:lineRule="atLeast"/>
              <w:rPr>
                <w:rFonts w:ascii="宋体" w:hAnsi="宋体" w:eastAsia="宋体" w:cs="Times New Roman"/>
                <w:szCs w:val="21"/>
              </w:rPr>
            </w:pPr>
            <w:r>
              <w:rPr>
                <w:rFonts w:ascii="宋体" w:hAnsi="宋体" w:eastAsia="宋体" w:cs="Times New Roman"/>
                <w:szCs w:val="21"/>
              </w:rPr>
              <w:t>保险中介服务</w:t>
            </w: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保险经纪服务</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保险代理服务</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Merge w:val="continue"/>
            <w:vAlign w:val="center"/>
          </w:tcPr>
          <w:p>
            <w:pPr>
              <w:spacing w:line="0" w:lineRule="atLeast"/>
              <w:rPr>
                <w:rFonts w:ascii="宋体" w:hAnsi="宋体" w:eastAsia="宋体" w:cs="Times New Roman"/>
                <w:szCs w:val="21"/>
              </w:rPr>
            </w:pP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保险公估服务</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eastAsia="宋体" w:cs="Times New Roman"/>
                <w:szCs w:val="21"/>
              </w:rPr>
            </w:pPr>
            <w:r>
              <w:rPr>
                <w:rFonts w:hint="eastAsia" w:ascii="宋体" w:hAnsi="宋体" w:eastAsia="宋体" w:cs="Times New Roman"/>
                <w:szCs w:val="21"/>
              </w:rPr>
              <w:t>金融业（其他金融业）</w:t>
            </w:r>
          </w:p>
        </w:tc>
        <w:tc>
          <w:tcPr>
            <w:tcW w:w="1417" w:type="dxa"/>
            <w:vAlign w:val="center"/>
          </w:tcPr>
          <w:p>
            <w:pPr>
              <w:spacing w:line="0" w:lineRule="atLeast"/>
              <w:rPr>
                <w:rFonts w:ascii="宋体" w:hAnsi="宋体" w:eastAsia="宋体" w:cs="Times New Roman"/>
                <w:szCs w:val="21"/>
              </w:rPr>
            </w:pPr>
            <w:r>
              <w:rPr>
                <w:rFonts w:ascii="宋体" w:hAnsi="宋体" w:eastAsia="宋体" w:cs="Times New Roman"/>
                <w:szCs w:val="21"/>
              </w:rPr>
              <w:t>金融信托与管理服务</w:t>
            </w:r>
          </w:p>
        </w:tc>
        <w:tc>
          <w:tcPr>
            <w:tcW w:w="2228" w:type="dxa"/>
            <w:shd w:val="clear" w:color="auto" w:fill="auto"/>
            <w:vAlign w:val="center"/>
          </w:tcPr>
          <w:p>
            <w:pPr>
              <w:spacing w:line="0" w:lineRule="atLeast"/>
              <w:rPr>
                <w:rFonts w:ascii="宋体" w:hAnsi="宋体" w:eastAsia="宋体" w:cs="Times New Roman"/>
                <w:szCs w:val="21"/>
              </w:rPr>
            </w:pPr>
            <w:r>
              <w:rPr>
                <w:rFonts w:ascii="宋体" w:hAnsi="宋体" w:eastAsia="宋体" w:cs="Times New Roman"/>
                <w:szCs w:val="21"/>
              </w:rPr>
              <w:t>信托公司</w:t>
            </w:r>
          </w:p>
        </w:tc>
        <w:tc>
          <w:tcPr>
            <w:tcW w:w="1643" w:type="dxa"/>
            <w:vAlign w:val="center"/>
          </w:tcPr>
          <w:p>
            <w:pPr>
              <w:spacing w:line="0" w:lineRule="atLeast"/>
              <w:jc w:val="center"/>
              <w:rPr>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非金融机构支付服务</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非金融机构支付服务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金融信息服务</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金融信息服务</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金融资产管理公司</w:t>
            </w:r>
          </w:p>
        </w:tc>
        <w:tc>
          <w:tcPr>
            <w:tcW w:w="2228" w:type="dxa"/>
            <w:shd w:val="clear" w:color="auto" w:fill="auto"/>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金融资产管理公司</w:t>
            </w:r>
          </w:p>
        </w:tc>
        <w:tc>
          <w:tcPr>
            <w:tcW w:w="164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w:t>
            </w:r>
          </w:p>
        </w:tc>
        <w:tc>
          <w:tcPr>
            <w:tcW w:w="2118" w:type="dxa"/>
            <w:vMerge w:val="continue"/>
            <w:vAlign w:val="center"/>
          </w:tcPr>
          <w:p>
            <w:pPr>
              <w:spacing w:line="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eastAsia="宋体" w:cs="Times New Roman"/>
                <w:b/>
                <w:szCs w:val="21"/>
              </w:rPr>
            </w:pPr>
            <w:r>
              <w:rPr>
                <w:rFonts w:ascii="宋体" w:hAnsi="宋体" w:eastAsia="宋体" w:cs="Times New Roman"/>
                <w:szCs w:val="21"/>
              </w:rPr>
              <w:t>其他</w:t>
            </w:r>
            <w:r>
              <w:rPr>
                <w:rFonts w:hint="eastAsia" w:ascii="宋体" w:hAnsi="宋体" w:eastAsia="宋体" w:cs="Times New Roman"/>
                <w:szCs w:val="21"/>
              </w:rPr>
              <w:t>行业</w:t>
            </w:r>
          </w:p>
        </w:tc>
        <w:tc>
          <w:tcPr>
            <w:tcW w:w="1417" w:type="dxa"/>
            <w:vAlign w:val="center"/>
          </w:tcPr>
          <w:p>
            <w:pPr>
              <w:spacing w:line="0" w:lineRule="atLeast"/>
              <w:rPr>
                <w:rFonts w:ascii="宋体" w:hAnsi="宋体" w:eastAsia="宋体" w:cs="仿宋"/>
                <w:kern w:val="0"/>
                <w:szCs w:val="21"/>
              </w:rPr>
            </w:pPr>
            <w:r>
              <w:rPr>
                <w:rFonts w:ascii="宋体" w:hAnsi="宋体" w:eastAsia="宋体" w:cs="Times New Roman"/>
                <w:szCs w:val="21"/>
              </w:rPr>
              <w:t>其他行政事业单位</w:t>
            </w:r>
          </w:p>
        </w:tc>
        <w:tc>
          <w:tcPr>
            <w:tcW w:w="2228" w:type="dxa"/>
            <w:shd w:val="clear" w:color="auto" w:fill="auto"/>
            <w:vAlign w:val="center"/>
          </w:tcPr>
          <w:p>
            <w:pPr>
              <w:spacing w:line="0" w:lineRule="atLeast"/>
              <w:jc w:val="left"/>
              <w:rPr>
                <w:rFonts w:ascii="宋体" w:hAnsi="宋体" w:eastAsia="宋体" w:cs="仿宋"/>
                <w:kern w:val="0"/>
                <w:szCs w:val="21"/>
              </w:rPr>
            </w:pPr>
            <w:r>
              <w:rPr>
                <w:rFonts w:ascii="宋体" w:hAnsi="宋体" w:eastAsia="宋体" w:cs="仿宋"/>
                <w:kern w:val="0"/>
                <w:szCs w:val="21"/>
              </w:rPr>
              <w:t>会计、统计服务</w:t>
            </w:r>
          </w:p>
        </w:tc>
        <w:tc>
          <w:tcPr>
            <w:tcW w:w="1643" w:type="dxa"/>
            <w:vAlign w:val="center"/>
          </w:tcPr>
          <w:p>
            <w:pPr>
              <w:spacing w:line="0" w:lineRule="atLeast"/>
              <w:jc w:val="center"/>
              <w:rPr>
                <w:rFonts w:ascii="宋体" w:hAnsi="宋体" w:eastAsia="宋体" w:cs="仿宋"/>
                <w:kern w:val="0"/>
                <w:szCs w:val="21"/>
              </w:rPr>
            </w:pPr>
            <w:r>
              <w:rPr>
                <w:rFonts w:hint="eastAsia" w:ascii="宋体" w:hAnsi="宋体" w:eastAsia="宋体" w:cs="Times New Roman"/>
                <w:b/>
                <w:szCs w:val="21"/>
              </w:rPr>
              <w:t>☆☆☆☆☆</w:t>
            </w:r>
          </w:p>
        </w:tc>
        <w:tc>
          <w:tcPr>
            <w:tcW w:w="2118" w:type="dxa"/>
            <w:vAlign w:val="center"/>
          </w:tcPr>
          <w:p>
            <w:pPr>
              <w:spacing w:line="0" w:lineRule="atLeast"/>
              <w:jc w:val="left"/>
              <w:rPr>
                <w:rFonts w:ascii="宋体" w:hAnsi="宋体" w:eastAsia="宋体" w:cs="仿宋"/>
                <w:kern w:val="0"/>
                <w:szCs w:val="21"/>
              </w:rPr>
            </w:pPr>
            <w:r>
              <w:rPr>
                <w:rFonts w:hint="eastAsia" w:ascii="宋体" w:hAnsi="宋体" w:eastAsia="宋体" w:cs="仿宋"/>
                <w:kern w:val="0"/>
                <w:szCs w:val="21"/>
              </w:rPr>
              <w:t>会计专业人员、统计专业人员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eastAsia="宋体" w:cs="Times New Roman"/>
                <w:szCs w:val="21"/>
              </w:rPr>
            </w:pPr>
          </w:p>
        </w:tc>
        <w:tc>
          <w:tcPr>
            <w:tcW w:w="1417" w:type="dxa"/>
            <w:vAlign w:val="center"/>
          </w:tcPr>
          <w:p>
            <w:pPr>
              <w:spacing w:line="0" w:lineRule="atLeast"/>
              <w:rPr>
                <w:rFonts w:ascii="宋体" w:hAnsi="宋体" w:eastAsia="宋体" w:cs="仿宋"/>
                <w:kern w:val="0"/>
                <w:szCs w:val="21"/>
              </w:rPr>
            </w:pPr>
            <w:r>
              <w:rPr>
                <w:rFonts w:ascii="宋体" w:hAnsi="宋体" w:eastAsia="宋体" w:cs="仿宋"/>
                <w:kern w:val="0"/>
                <w:szCs w:val="21"/>
              </w:rPr>
              <w:t>其他企业单位</w:t>
            </w:r>
          </w:p>
        </w:tc>
        <w:tc>
          <w:tcPr>
            <w:tcW w:w="2228" w:type="dxa"/>
            <w:shd w:val="clear" w:color="auto" w:fill="auto"/>
            <w:vAlign w:val="center"/>
          </w:tcPr>
          <w:p>
            <w:pPr>
              <w:spacing w:line="0" w:lineRule="atLeast"/>
              <w:jc w:val="left"/>
              <w:rPr>
                <w:rFonts w:ascii="宋体" w:hAnsi="宋体" w:eastAsia="宋体" w:cs="仿宋"/>
                <w:kern w:val="0"/>
                <w:szCs w:val="21"/>
              </w:rPr>
            </w:pPr>
            <w:r>
              <w:rPr>
                <w:rFonts w:ascii="宋体" w:hAnsi="宋体" w:eastAsia="宋体" w:cs="仿宋"/>
                <w:kern w:val="0"/>
                <w:szCs w:val="21"/>
              </w:rPr>
              <w:t>会计、统计服务</w:t>
            </w:r>
          </w:p>
        </w:tc>
        <w:tc>
          <w:tcPr>
            <w:tcW w:w="1643" w:type="dxa"/>
            <w:vAlign w:val="center"/>
          </w:tcPr>
          <w:p>
            <w:pPr>
              <w:spacing w:line="0" w:lineRule="atLeast"/>
              <w:jc w:val="center"/>
              <w:rPr>
                <w:rFonts w:ascii="宋体" w:hAnsi="宋体" w:eastAsia="宋体" w:cs="仿宋"/>
                <w:kern w:val="0"/>
                <w:szCs w:val="21"/>
              </w:rPr>
            </w:pPr>
            <w:r>
              <w:rPr>
                <w:rFonts w:hint="eastAsia" w:ascii="宋体" w:hAnsi="宋体" w:eastAsia="宋体" w:cs="Times New Roman"/>
                <w:b/>
                <w:szCs w:val="21"/>
              </w:rPr>
              <w:t>☆☆☆☆☆</w:t>
            </w:r>
          </w:p>
        </w:tc>
        <w:tc>
          <w:tcPr>
            <w:tcW w:w="2118" w:type="dxa"/>
            <w:vAlign w:val="center"/>
          </w:tcPr>
          <w:p>
            <w:pPr>
              <w:spacing w:line="0" w:lineRule="atLeast"/>
              <w:jc w:val="left"/>
              <w:rPr>
                <w:rFonts w:ascii="宋体" w:hAnsi="宋体" w:eastAsia="宋体" w:cs="仿宋"/>
                <w:kern w:val="0"/>
                <w:szCs w:val="21"/>
              </w:rPr>
            </w:pPr>
            <w:r>
              <w:rPr>
                <w:rFonts w:hint="eastAsia" w:ascii="宋体" w:hAnsi="宋体" w:eastAsia="宋体" w:cs="仿宋"/>
                <w:kern w:val="0"/>
                <w:szCs w:val="21"/>
              </w:rPr>
              <w:t>会计专业人员、统计专业人员、收银员</w:t>
            </w: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注：表中“☆”数量的多少，既表示该行业在生产（经济）实际中的比重和地位，也是是否纳入专业课程，以及在专业课程中的地位和权重的参考依据。</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三、培养定位与规格</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（一）人才培养定位</w:t>
      </w:r>
    </w:p>
    <w:p>
      <w:pPr>
        <w:spacing w:line="400" w:lineRule="exact"/>
        <w:ind w:firstLine="480" w:firstLineChars="200"/>
        <w:rPr>
          <w:rFonts w:ascii="宋体" w:hAnsi="宋体" w:eastAsia="宋体" w:cs="仿宋"/>
          <w:sz w:val="24"/>
        </w:rPr>
      </w:pPr>
      <w:r>
        <w:rPr>
          <w:rFonts w:hint="eastAsia" w:ascii="宋体" w:hAnsi="宋体" w:eastAsia="宋体" w:cs="仿宋"/>
          <w:sz w:val="24"/>
        </w:rPr>
        <w:t>适应会计工作“业财融合”和会计信息化发展对复合型技术技能人才的需求，以学习者综合素质和行业通用能力培养为基础，以专业核心素养培养为重点，培养具有较强职业适应能力和可持续发展能力，能胜任商务服务、金融、其他企事业单位等相关行业企业的会计、审计及税务服务和财务管理等一线工作的高素质劳动者和复合型技术技能人才。</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（二）综合素质</w:t>
      </w:r>
    </w:p>
    <w:p>
      <w:pPr>
        <w:spacing w:line="400" w:lineRule="exact"/>
        <w:ind w:firstLine="480" w:firstLineChars="200"/>
        <w:rPr>
          <w:rFonts w:ascii="宋体" w:hAnsi="宋体" w:eastAsia="宋体" w:cs="仿宋"/>
          <w:sz w:val="24"/>
        </w:rPr>
      </w:pPr>
      <w:r>
        <w:rPr>
          <w:rFonts w:hint="eastAsia" w:ascii="宋体" w:hAnsi="宋体" w:eastAsia="宋体" w:cs="仿宋"/>
          <w:sz w:val="24"/>
        </w:rPr>
        <w:t>本专业类学生综合素质应包含以下几个方面，各专业可结合本专业人才培养要求增加相应的内容。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2.具有社会责任感，履行公民义务，行使公民权利，维护社会公平正义。具有较强的法律意识和良好的道德品质，遵法守纪、履行公民道德规范和中职生行为规范。</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3.具有扎实的文化基础知识和较强的学习能力，具有立志从事会计、金融和统计工作的情怀，为专业发展和终身发展奠定坚实的基础。</w:t>
      </w:r>
    </w:p>
    <w:p>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7.具有积极劳动态度和良好劳动习惯，具有良好职业道德、职业行为，形成通过诚实合法劳动创造成功生活的意识和行为，在劳动中弘扬劳动精神、劳模精神和工匠精神。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（三）职业能力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1.行业通用能力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行业通用能力是从业人员跨入某大类行业必须具备的基于各行业的共同基础能力，是形成高水平职业能力的前提，是职业发展的基石，是高质量完成一线工作任务的基本保证。</w:t>
      </w:r>
      <w:r>
        <w:rPr>
          <w:rFonts w:ascii="宋体" w:hAnsi="宋体" w:eastAsia="宋体" w:cs="仿宋"/>
          <w:sz w:val="24"/>
        </w:rPr>
        <w:t>本专业类着眼于复合型人才培养，</w:t>
      </w:r>
      <w:r>
        <w:rPr>
          <w:rFonts w:hint="eastAsia" w:ascii="宋体" w:hAnsi="宋体" w:eastAsia="宋体" w:cs="仿宋"/>
          <w:sz w:val="24"/>
        </w:rPr>
        <w:t>参照国家职业标准、职业技能等级标准（会计类）初级水平，按照</w:t>
      </w:r>
      <w:r>
        <w:rPr>
          <w:rFonts w:ascii="宋体" w:hAnsi="宋体" w:eastAsia="宋体" w:cs="仿宋"/>
          <w:sz w:val="24"/>
        </w:rPr>
        <w:t>夯实专业发展基础</w:t>
      </w:r>
      <w:r>
        <w:rPr>
          <w:rFonts w:hint="eastAsia" w:ascii="宋体" w:hAnsi="宋体" w:eastAsia="宋体" w:cs="仿宋"/>
          <w:sz w:val="24"/>
        </w:rPr>
        <w:t>、</w:t>
      </w:r>
      <w:r>
        <w:rPr>
          <w:rFonts w:ascii="宋体" w:hAnsi="宋体" w:eastAsia="宋体" w:cs="仿宋"/>
          <w:sz w:val="24"/>
        </w:rPr>
        <w:t>强化职业素养培育</w:t>
      </w:r>
      <w:r>
        <w:rPr>
          <w:rFonts w:hint="eastAsia" w:ascii="宋体" w:hAnsi="宋体" w:eastAsia="宋体" w:cs="仿宋"/>
          <w:sz w:val="24"/>
        </w:rPr>
        <w:t>的要求</w:t>
      </w:r>
      <w:r>
        <w:rPr>
          <w:rFonts w:ascii="宋体" w:hAnsi="宋体" w:eastAsia="宋体" w:cs="仿宋"/>
          <w:sz w:val="24"/>
        </w:rPr>
        <w:t>，建构专业类通用的基础知识和基本技能，</w:t>
      </w:r>
      <w:r>
        <w:rPr>
          <w:rFonts w:hint="eastAsia" w:ascii="宋体" w:hAnsi="宋体" w:eastAsia="宋体" w:cs="仿宋"/>
          <w:sz w:val="24"/>
        </w:rPr>
        <w:t>形成本专业类中职学生跨入商务服务业、金融业从事会计类工作应具备的通用能力。具体为：</w:t>
      </w:r>
    </w:p>
    <w:p>
      <w:pPr>
        <w:spacing w:line="400" w:lineRule="exact"/>
        <w:ind w:firstLine="480" w:firstLineChars="200"/>
        <w:rPr>
          <w:rFonts w:ascii="宋体" w:hAnsi="宋体" w:eastAsia="宋体" w:cs="仿宋"/>
          <w:sz w:val="24"/>
        </w:rPr>
      </w:pPr>
      <w:r>
        <w:rPr>
          <w:rFonts w:hint="eastAsia" w:ascii="宋体" w:hAnsi="宋体" w:eastAsia="宋体" w:cs="仿宋"/>
          <w:sz w:val="24"/>
        </w:rPr>
        <w:t>（1）了解本行业相关的经济政策和法规，能把握信息化时代会计、金融、统计、税务、经济组织管理等发展趋势，关注会计领域发展新趋势和变革新动向，熟悉会计行业规范和职业岗位标准。</w:t>
      </w:r>
    </w:p>
    <w:p>
      <w:pPr>
        <w:spacing w:line="400" w:lineRule="exact"/>
        <w:ind w:firstLine="480" w:firstLineChars="200"/>
        <w:rPr>
          <w:rFonts w:ascii="宋体" w:hAnsi="宋体" w:eastAsia="宋体" w:cs="仿宋"/>
          <w:sz w:val="24"/>
        </w:rPr>
      </w:pPr>
      <w:r>
        <w:rPr>
          <w:rFonts w:hint="eastAsia" w:ascii="宋体" w:hAnsi="宋体" w:eastAsia="宋体" w:cs="仿宋"/>
          <w:sz w:val="24"/>
        </w:rPr>
        <w:t>（2）掌握会计要素、会计等式、借贷记账法等基本理论知识和统计的基本概念，会搜集、整理、描述和分析数据，会进行本量利的基本分析，会计算并分析财务报表的基本指标，了解商业银行业务、证券与保险业务和其他金融业务。</w:t>
      </w:r>
    </w:p>
    <w:p>
      <w:pPr>
        <w:spacing w:line="400" w:lineRule="exact"/>
        <w:ind w:firstLine="480" w:firstLineChars="200"/>
        <w:rPr>
          <w:rFonts w:ascii="宋体" w:hAnsi="宋体" w:eastAsia="宋体" w:cs="仿宋"/>
          <w:sz w:val="24"/>
        </w:rPr>
      </w:pPr>
      <w:r>
        <w:rPr>
          <w:rFonts w:hint="eastAsia" w:ascii="宋体" w:hAnsi="宋体" w:eastAsia="宋体" w:cs="仿宋"/>
          <w:sz w:val="24"/>
        </w:rPr>
        <w:t>（3）理解经济法的概念和特征，掌握会计法律制度和支付结算法律制度，掌握增值税、消费税、企业所得税、个人所得税的基本内容和计算方法，掌握税收征收法律管理制度、劳动合同与社会保险法律制度等基本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（4）掌握票据录入、点钞、会计数字与文字书写等手工技能，能采用手工和会计软件正确进行主要经济业务核算，并会填制会计凭证、登记会计账簿和编制会计报表。</w:t>
      </w:r>
    </w:p>
    <w:p>
      <w:pPr>
        <w:spacing w:line="400" w:lineRule="exact"/>
        <w:ind w:firstLine="480" w:firstLineChars="200"/>
        <w:rPr>
          <w:rFonts w:ascii="宋体" w:hAnsi="宋体" w:eastAsia="宋体" w:cs="仿宋"/>
          <w:sz w:val="24"/>
        </w:rPr>
      </w:pPr>
      <w:r>
        <w:rPr>
          <w:rFonts w:hint="eastAsia" w:ascii="宋体" w:hAnsi="宋体" w:eastAsia="宋体" w:cs="仿宋"/>
          <w:sz w:val="24"/>
        </w:rPr>
        <w:t>（5）爱岗敬业，诚实守信，树立法律意识，具有良好的语言、文字表达能力和沟通能力，养成规范操作和客观公正的职业精神，具有强烈的集体观念与服务意识。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专业核心能力是胜任职业岗位群工作任务必备的专业知识、技能以及良好的情感和态度。</w:t>
      </w:r>
    </w:p>
    <w:p>
      <w:pPr>
        <w:spacing w:line="400" w:lineRule="exact"/>
        <w:ind w:firstLine="480" w:firstLineChars="200"/>
        <w:rPr>
          <w:rFonts w:ascii="宋体" w:hAnsi="宋体" w:eastAsia="宋体" w:cs="仿宋"/>
          <w:sz w:val="24"/>
        </w:rPr>
      </w:pPr>
      <w:r>
        <w:rPr>
          <w:rFonts w:hint="eastAsia" w:ascii="宋体" w:hAnsi="宋体" w:eastAsia="宋体" w:cs="仿宋"/>
          <w:sz w:val="24"/>
        </w:rPr>
        <w:t>各专业核心能力的设定，要基于职业岗位群工作任务分析，梳理出满足工作要求和职业发展的能力要素，兼顾中高职衔接，突出中职阶段本专业的关键能力，有结构、分层次地对能力进行序列化呈现。</w:t>
      </w:r>
    </w:p>
    <w:p>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职业特定能力是针对特定职业岗位应具备的职业能力。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各专业特定能力的设定，要基于特定岗位工作任务，分析形成本职业岗位所需要的专门性知识和技能。</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四、课程设置</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（一）课程结构</w:t>
      </w:r>
    </w:p>
    <w:p>
      <w:pPr>
        <w:spacing w:line="400" w:lineRule="exact"/>
        <w:ind w:firstLine="480" w:firstLineChars="200"/>
        <w:rPr>
          <w:rFonts w:ascii="宋体" w:hAnsi="宋体" w:eastAsia="宋体" w:cs="仿宋"/>
          <w:sz w:val="24"/>
        </w:rPr>
      </w:pPr>
      <w:r>
        <w:rPr>
          <w:rFonts w:hint="eastAsia" w:ascii="宋体" w:hAnsi="宋体" w:eastAsia="宋体" w:cs="仿宋"/>
          <w:sz w:val="24"/>
        </w:rPr>
        <w:t>适应复合型人才培养的要求，以公共基础课程为学习起点，</w:t>
      </w:r>
      <w:bookmarkStart w:id="0" w:name="_Hlk63268348"/>
      <w:r>
        <w:rPr>
          <w:rFonts w:hint="eastAsia" w:ascii="宋体" w:hAnsi="宋体" w:eastAsia="宋体" w:cs="仿宋"/>
          <w:sz w:val="24"/>
        </w:rPr>
        <w:t>建构“类平台课程+核心课程+方向课程”的专业课程体系，</w:t>
      </w:r>
      <w:bookmarkEnd w:id="0"/>
      <w:r>
        <w:rPr>
          <w:rFonts w:hint="eastAsia" w:ascii="宋体" w:hAnsi="宋体" w:eastAsia="宋体" w:cs="仿宋"/>
          <w:sz w:val="24"/>
        </w:rPr>
        <w:t>形成课程结构图（图1）。各专业根据其专业特点设置相应的课程。</w:t>
      </w:r>
      <w:r>
        <w:rPr>
          <w:rFonts w:ascii="宋体" w:hAnsi="宋体" w:eastAsia="宋体" w:cs="仿宋"/>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903605</wp:posOffset>
            </wp:positionV>
            <wp:extent cx="5274310" cy="3538855"/>
            <wp:effectExtent l="0" t="0" r="317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000" cy="3538800"/>
                    </a:xfrm>
                    <a:prstGeom prst="rect">
                      <a:avLst/>
                    </a:prstGeom>
                  </pic:spPr>
                </pic:pic>
              </a:graphicData>
            </a:graphic>
          </wp:anchor>
        </w:drawing>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图1课程结构图</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（二）课程与教学内容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依据教育部颁发的《中等职业学校公共基础课程方案》和各科目教学标准，结合本专业类特点和教学要求，形成本专业类</w:t>
      </w:r>
      <w:bookmarkStart w:id="1" w:name="_Hlk50282797"/>
      <w:r>
        <w:rPr>
          <w:rFonts w:hint="eastAsia" w:ascii="宋体" w:hAnsi="宋体" w:eastAsia="宋体" w:cs="仿宋"/>
          <w:sz w:val="24"/>
        </w:rPr>
        <w:t>公共基础课程的课程设置及教学要求</w:t>
      </w:r>
      <w:bookmarkEnd w:id="1"/>
      <w:r>
        <w:rPr>
          <w:rFonts w:hint="eastAsia" w:ascii="宋体" w:hAnsi="宋体" w:eastAsia="宋体" w:cs="仿宋"/>
          <w:sz w:val="24"/>
        </w:rPr>
        <w:t>，具体见表2。</w:t>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表2公共基础课程设置及内容要求</w:t>
      </w:r>
    </w:p>
    <w:tbl>
      <w:tblPr>
        <w:tblStyle w:val="23"/>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课程名称</w:t>
            </w:r>
          </w:p>
        </w:tc>
        <w:tc>
          <w:tcPr>
            <w:tcW w:w="6440"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教学内容及要求</w:t>
            </w:r>
          </w:p>
        </w:tc>
        <w:tc>
          <w:tcPr>
            <w:tcW w:w="1130"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语文</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历史</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仿宋"/>
                <w:szCs w:val="21"/>
              </w:rPr>
            </w:pPr>
            <w:r>
              <w:rPr>
                <w:rFonts w:hint="eastAsia" w:ascii="宋体" w:hAnsi="宋体" w:eastAsia="宋体" w:cs="Times New Roman"/>
                <w:szCs w:val="21"/>
              </w:rPr>
              <w:t>执行中共中央国务院发布的《关于全面加强新时代大中小学劳动教育的意见》相关要求，劳动教育</w:t>
            </w:r>
            <w:r>
              <w:rPr>
                <w:rFonts w:ascii="宋体" w:hAnsi="宋体" w:eastAsia="宋体" w:cs="Times New Roman"/>
                <w:szCs w:val="21"/>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18</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2.专业（技能）课程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（1</w:t>
      </w:r>
      <w:r>
        <w:rPr>
          <w:rFonts w:ascii="宋体" w:hAnsi="宋体" w:eastAsia="宋体" w:cs="仿宋"/>
          <w:sz w:val="24"/>
        </w:rPr>
        <w:t>）</w:t>
      </w:r>
      <w:r>
        <w:rPr>
          <w:rFonts w:hint="eastAsia" w:ascii="宋体" w:hAnsi="宋体" w:eastAsia="宋体" w:cs="仿宋"/>
          <w:sz w:val="24"/>
        </w:rPr>
        <w:t>专业类平台课程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依照本专业类行业面向和职业面向（江苏省中等职业教育行业及职业面向分析表），</w:t>
      </w:r>
      <w:r>
        <w:rPr>
          <w:rFonts w:ascii="宋体" w:hAnsi="宋体" w:eastAsia="宋体" w:cs="仿宋"/>
          <w:sz w:val="24"/>
        </w:rPr>
        <w:t>对接</w:t>
      </w:r>
      <w:r>
        <w:rPr>
          <w:rFonts w:hint="eastAsia" w:ascii="宋体" w:hAnsi="宋体" w:eastAsia="宋体" w:cs="仿宋"/>
          <w:sz w:val="24"/>
        </w:rPr>
        <w:t>国家职业标准</w:t>
      </w:r>
      <w:bookmarkStart w:id="2" w:name="_Hlk63269612"/>
      <w:r>
        <w:rPr>
          <w:rFonts w:hint="eastAsia" w:ascii="宋体" w:hAnsi="宋体" w:eastAsia="宋体" w:cs="仿宋"/>
          <w:sz w:val="24"/>
        </w:rPr>
        <w:t>（初级）和职业技能等级标准</w:t>
      </w:r>
      <w:bookmarkEnd w:id="2"/>
      <w:r>
        <w:rPr>
          <w:rFonts w:hint="eastAsia" w:ascii="宋体" w:hAnsi="宋体" w:eastAsia="宋体" w:cs="仿宋"/>
          <w:sz w:val="24"/>
        </w:rPr>
        <w:t>（初级），突出会计行业涉及的基础知识、基本技能和职业操守，兼顾职业道德、职业基础知识、安全知识、相关法律法规知识，建立专业类各专业通用的学习内容分析表，</w:t>
      </w:r>
      <w:r>
        <w:rPr>
          <w:rFonts w:ascii="宋体" w:hAnsi="宋体" w:eastAsia="宋体" w:cs="仿宋"/>
          <w:sz w:val="24"/>
        </w:rPr>
        <w:t>确定</w:t>
      </w:r>
      <w:r>
        <w:rPr>
          <w:rFonts w:hint="eastAsia" w:ascii="宋体" w:hAnsi="宋体" w:eastAsia="宋体" w:cs="仿宋"/>
          <w:sz w:val="24"/>
        </w:rPr>
        <w:t>中职学生跨入会计服务业、金融</w:t>
      </w:r>
      <w:r>
        <w:rPr>
          <w:rFonts w:ascii="宋体" w:hAnsi="宋体" w:eastAsia="宋体" w:cs="仿宋"/>
          <w:sz w:val="24"/>
        </w:rPr>
        <w:t>行业所必备的</w:t>
      </w:r>
      <w:r>
        <w:rPr>
          <w:rFonts w:hint="eastAsia" w:ascii="宋体" w:hAnsi="宋体" w:eastAsia="宋体" w:cs="仿宋"/>
          <w:sz w:val="24"/>
        </w:rPr>
        <w:t>基础知识、财经</w:t>
      </w:r>
      <w:r>
        <w:rPr>
          <w:rFonts w:ascii="宋体" w:hAnsi="宋体" w:eastAsia="宋体" w:cs="仿宋"/>
          <w:sz w:val="24"/>
        </w:rPr>
        <w:t>常识和基本技能</w:t>
      </w:r>
      <w:r>
        <w:rPr>
          <w:rFonts w:hint="eastAsia" w:ascii="宋体" w:hAnsi="宋体" w:eastAsia="宋体" w:cs="仿宋"/>
          <w:sz w:val="24"/>
        </w:rPr>
        <w:t>、职业素养</w:t>
      </w:r>
      <w:r>
        <w:rPr>
          <w:rFonts w:ascii="宋体" w:hAnsi="宋体" w:eastAsia="宋体" w:cs="仿宋"/>
          <w:sz w:val="24"/>
        </w:rPr>
        <w:t>，</w:t>
      </w:r>
      <w:r>
        <w:rPr>
          <w:rFonts w:hint="eastAsia" w:ascii="宋体" w:hAnsi="宋体" w:eastAsia="宋体" w:cs="仿宋"/>
          <w:sz w:val="24"/>
        </w:rPr>
        <w:t>具体见表3。</w:t>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表</w:t>
      </w:r>
      <w:r>
        <w:rPr>
          <w:rFonts w:ascii="宋体" w:hAnsi="宋体" w:eastAsia="宋体" w:cs="仿宋"/>
          <w:b/>
          <w:sz w:val="24"/>
          <w:szCs w:val="24"/>
        </w:rPr>
        <w:t>3</w:t>
      </w:r>
      <w:r>
        <w:rPr>
          <w:rFonts w:hint="eastAsia" w:ascii="宋体" w:hAnsi="宋体" w:eastAsia="宋体" w:cs="仿宋"/>
          <w:b/>
          <w:sz w:val="24"/>
          <w:szCs w:val="24"/>
        </w:rPr>
        <w:t>专业类通用学习内容分析表</w:t>
      </w:r>
    </w:p>
    <w:tbl>
      <w:tblPr>
        <w:tblStyle w:val="2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28"/>
        <w:gridCol w:w="1196"/>
        <w:gridCol w:w="1788"/>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290" w:type="dxa"/>
            <w:gridSpan w:val="2"/>
            <w:vAlign w:val="center"/>
          </w:tcPr>
          <w:p>
            <w:pPr>
              <w:spacing w:line="0" w:lineRule="atLeast"/>
              <w:jc w:val="center"/>
              <w:rPr>
                <w:rFonts w:ascii="宋体" w:hAnsi="宋体" w:eastAsia="宋体" w:cs="仿宋"/>
                <w:b/>
                <w:kern w:val="0"/>
                <w:szCs w:val="21"/>
              </w:rPr>
            </w:pPr>
            <w:r>
              <w:rPr>
                <w:rFonts w:hint="eastAsia" w:ascii="宋体" w:hAnsi="宋体" w:eastAsia="宋体" w:cs="仿宋"/>
                <w:b/>
                <w:kern w:val="0"/>
                <w:szCs w:val="21"/>
              </w:rPr>
              <w:t>类别</w:t>
            </w:r>
          </w:p>
        </w:tc>
        <w:tc>
          <w:tcPr>
            <w:tcW w:w="1196" w:type="dxa"/>
            <w:vMerge w:val="restart"/>
            <w:vAlign w:val="center"/>
          </w:tcPr>
          <w:p>
            <w:pPr>
              <w:spacing w:line="0" w:lineRule="atLeast"/>
              <w:jc w:val="center"/>
              <w:rPr>
                <w:rFonts w:ascii="宋体" w:hAnsi="宋体" w:eastAsia="宋体" w:cs="仿宋"/>
                <w:b/>
                <w:kern w:val="0"/>
                <w:szCs w:val="21"/>
              </w:rPr>
            </w:pPr>
            <w:r>
              <w:rPr>
                <w:rFonts w:hint="eastAsia" w:ascii="宋体" w:hAnsi="宋体" w:eastAsia="宋体" w:cs="仿宋"/>
                <w:b/>
                <w:kern w:val="0"/>
                <w:szCs w:val="21"/>
              </w:rPr>
              <w:t>主要职业</w:t>
            </w:r>
          </w:p>
          <w:p>
            <w:pPr>
              <w:spacing w:line="0" w:lineRule="atLeast"/>
              <w:jc w:val="center"/>
              <w:rPr>
                <w:rFonts w:ascii="宋体" w:hAnsi="宋体" w:eastAsia="宋体" w:cs="仿宋"/>
                <w:b/>
                <w:kern w:val="0"/>
                <w:szCs w:val="21"/>
              </w:rPr>
            </w:pPr>
            <w:r>
              <w:rPr>
                <w:rFonts w:hint="eastAsia" w:ascii="宋体" w:hAnsi="宋体" w:eastAsia="宋体" w:cs="仿宋"/>
                <w:b/>
                <w:kern w:val="0"/>
                <w:szCs w:val="21"/>
              </w:rPr>
              <w:t>（面向中职）</w:t>
            </w:r>
          </w:p>
        </w:tc>
        <w:tc>
          <w:tcPr>
            <w:tcW w:w="5444" w:type="dxa"/>
            <w:gridSpan w:val="2"/>
            <w:vMerge w:val="restart"/>
            <w:vAlign w:val="center"/>
          </w:tcPr>
          <w:p>
            <w:pPr>
              <w:spacing w:line="0" w:lineRule="atLeast"/>
              <w:jc w:val="center"/>
              <w:rPr>
                <w:rFonts w:ascii="宋体" w:hAnsi="宋体" w:eastAsia="宋体" w:cs="Times New Roman"/>
                <w:b/>
                <w:kern w:val="0"/>
                <w:szCs w:val="21"/>
              </w:rPr>
            </w:pPr>
            <w:r>
              <w:rPr>
                <w:rFonts w:hint="eastAsia" w:ascii="宋体" w:hAnsi="宋体" w:eastAsia="宋体" w:cs="Times New Roman"/>
                <w:b/>
                <w:kern w:val="0"/>
                <w:szCs w:val="21"/>
              </w:rPr>
              <w:t>学习内容及要求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2" w:type="dxa"/>
            <w:vAlign w:val="center"/>
          </w:tcPr>
          <w:p>
            <w:pPr>
              <w:spacing w:line="0" w:lineRule="atLeast"/>
              <w:jc w:val="center"/>
              <w:rPr>
                <w:rFonts w:ascii="宋体" w:hAnsi="宋体" w:eastAsia="宋体" w:cs="仿宋"/>
                <w:b/>
                <w:kern w:val="0"/>
                <w:szCs w:val="21"/>
              </w:rPr>
            </w:pPr>
            <w:r>
              <w:rPr>
                <w:rFonts w:hint="eastAsia" w:ascii="宋体" w:hAnsi="宋体" w:eastAsia="宋体" w:cs="仿宋"/>
                <w:b/>
                <w:kern w:val="0"/>
                <w:szCs w:val="21"/>
              </w:rPr>
              <w:t>大类</w:t>
            </w:r>
          </w:p>
        </w:tc>
        <w:tc>
          <w:tcPr>
            <w:tcW w:w="1428" w:type="dxa"/>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中类</w:t>
            </w:r>
          </w:p>
        </w:tc>
        <w:tc>
          <w:tcPr>
            <w:tcW w:w="1196" w:type="dxa"/>
            <w:vMerge w:val="continue"/>
          </w:tcPr>
          <w:p>
            <w:pPr>
              <w:widowControl/>
              <w:spacing w:line="0" w:lineRule="atLeast"/>
              <w:jc w:val="center"/>
              <w:rPr>
                <w:rFonts w:ascii="宋体" w:hAnsi="宋体" w:eastAsia="宋体" w:cs="仿宋"/>
                <w:b/>
                <w:kern w:val="0"/>
                <w:szCs w:val="21"/>
              </w:rPr>
            </w:pPr>
          </w:p>
        </w:tc>
        <w:tc>
          <w:tcPr>
            <w:tcW w:w="5444" w:type="dxa"/>
            <w:gridSpan w:val="2"/>
            <w:vMerge w:val="continue"/>
          </w:tcPr>
          <w:p>
            <w:pPr>
              <w:spacing w:line="0" w:lineRule="atLeast"/>
              <w:jc w:val="center"/>
              <w:rPr>
                <w:rFonts w:ascii="宋体" w:hAnsi="宋体" w:eastAsia="宋体"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Times New Roman"/>
                <w:kern w:val="0"/>
                <w:szCs w:val="21"/>
              </w:rPr>
              <w:t>商务服务业</w:t>
            </w:r>
          </w:p>
        </w:tc>
        <w:tc>
          <w:tcPr>
            <w:tcW w:w="1428" w:type="dxa"/>
            <w:vAlign w:val="center"/>
          </w:tcPr>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组织管理服务</w:t>
            </w:r>
          </w:p>
        </w:tc>
        <w:tc>
          <w:tcPr>
            <w:tcW w:w="1196" w:type="dxa"/>
            <w:vAlign w:val="center"/>
          </w:tcPr>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合作经济专业人员、统计专业人员</w:t>
            </w:r>
          </w:p>
        </w:tc>
        <w:tc>
          <w:tcPr>
            <w:tcW w:w="1788" w:type="dxa"/>
            <w:vMerge w:val="restart"/>
          </w:tcPr>
          <w:p>
            <w:pPr>
              <w:spacing w:line="0" w:lineRule="atLeast"/>
              <w:rPr>
                <w:rFonts w:cs="Times New Roman" w:asciiTheme="majorEastAsia" w:hAnsiTheme="majorEastAsia" w:eastAsiaTheme="majorEastAsia"/>
                <w:b/>
                <w:kern w:val="0"/>
                <w:szCs w:val="21"/>
              </w:rPr>
            </w:pPr>
            <w:r>
              <w:rPr>
                <w:rFonts w:hint="eastAsia" w:cs="Times New Roman" w:asciiTheme="majorEastAsia" w:hAnsiTheme="majorEastAsia" w:eastAsiaTheme="majorEastAsia"/>
                <w:b/>
                <w:kern w:val="0"/>
                <w:szCs w:val="21"/>
              </w:rPr>
              <w:t>职业道德</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（1）爱国守法、遵守行业规范；</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（2）敬业爱岗， 诚实守信，热情主动，具有团队合作精神；</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（3）维护客户利益，保守机密；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（4）精通业务；</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（5）讲求效益；</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（6）廉洁自律；</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（7）客观公正，公平交易；</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（8）参与管理；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（9）强化服务，热心服务，礼貌待客</w:t>
            </w:r>
          </w:p>
          <w:p>
            <w:pPr>
              <w:spacing w:line="0" w:lineRule="atLeast"/>
              <w:rPr>
                <w:rFonts w:cs="Times New Roman" w:asciiTheme="majorEastAsia" w:hAnsiTheme="majorEastAsia" w:eastAsiaTheme="majorEastAsia"/>
                <w:kern w:val="0"/>
                <w:szCs w:val="21"/>
              </w:rPr>
            </w:pPr>
          </w:p>
          <w:p>
            <w:pPr>
              <w:spacing w:line="0" w:lineRule="atLeast"/>
              <w:rPr>
                <w:rFonts w:cs="Times New Roman" w:asciiTheme="majorEastAsia" w:hAnsiTheme="majorEastAsia" w:eastAsiaTheme="majorEastAsia"/>
                <w:b/>
                <w:kern w:val="0"/>
                <w:szCs w:val="21"/>
              </w:rPr>
            </w:pPr>
            <w:r>
              <w:rPr>
                <w:rFonts w:hint="eastAsia" w:cs="Times New Roman" w:asciiTheme="majorEastAsia" w:hAnsiTheme="majorEastAsia" w:eastAsiaTheme="majorEastAsia"/>
                <w:b/>
                <w:kern w:val="0"/>
                <w:szCs w:val="21"/>
              </w:rPr>
              <w:t>法律知识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（1）《中华人民共和国劳动法》的相关知识；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（2）《中华人民共和国劳动合同法》的相关知识；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（3）《中华人民共和国消费者权益保护法》的相关知识；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（4）《中华人民共和国产品质量法》的相关知识；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（5）《中华人民共和国广告法》的相关知识；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（6）银行卡有关政策规定；</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（7）《中华人民共和国民法典》的相关知识；</w:t>
            </w:r>
          </w:p>
          <w:p>
            <w:pPr>
              <w:spacing w:line="0" w:lineRule="atLeast"/>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w:t>
            </w:r>
            <w:r>
              <w:rPr>
                <w:rFonts w:hint="eastAsia" w:cs="Times New Roman" w:asciiTheme="majorEastAsia" w:hAnsiTheme="majorEastAsia" w:eastAsiaTheme="majorEastAsia"/>
                <w:kern w:val="0"/>
                <w:szCs w:val="21"/>
              </w:rPr>
              <w:t>8</w:t>
            </w:r>
            <w:r>
              <w:rPr>
                <w:rFonts w:cs="Times New Roman" w:asciiTheme="majorEastAsia" w:hAnsiTheme="majorEastAsia" w:eastAsiaTheme="majorEastAsia"/>
                <w:kern w:val="0"/>
                <w:szCs w:val="21"/>
              </w:rPr>
              <w:t>）</w:t>
            </w:r>
            <w:r>
              <w:rPr>
                <w:rFonts w:hint="eastAsia" w:cs="Times New Roman" w:asciiTheme="majorEastAsia" w:hAnsiTheme="majorEastAsia" w:eastAsiaTheme="majorEastAsia"/>
                <w:kern w:val="0"/>
                <w:szCs w:val="21"/>
              </w:rPr>
              <w:t>《中华人民共和国会计法》的相关知识；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（9）《企业财务会计报告条例》的相关知识；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（10）《企业会计准则》的相关知识；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（11）《财政部门实施会计监督办法》的相关知识；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（12）《代理记账管理办法》的相关知识；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（13）《企业会计制度》的相关知识；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（14）《金融企业会计制度》的相关知识；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（15）《小企业会计制度》的相关知识；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（16）《民间非营利组织会计制度》的相关知识；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（17）《会计基础工作规范》的相关知识；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（18）《内部会计控制规范》的相关知识</w:t>
            </w:r>
          </w:p>
          <w:p>
            <w:pPr>
              <w:spacing w:line="0" w:lineRule="atLeast"/>
              <w:rPr>
                <w:rFonts w:cs="Times New Roman" w:asciiTheme="majorEastAsia" w:hAnsiTheme="majorEastAsia" w:eastAsiaTheme="majorEastAsia"/>
                <w:b/>
                <w:kern w:val="0"/>
                <w:szCs w:val="21"/>
              </w:rPr>
            </w:pPr>
          </w:p>
          <w:p>
            <w:pPr>
              <w:spacing w:line="0" w:lineRule="atLeast"/>
              <w:rPr>
                <w:rFonts w:cs="Times New Roman" w:asciiTheme="majorEastAsia" w:hAnsiTheme="majorEastAsia" w:eastAsiaTheme="majorEastAsia"/>
                <w:b/>
                <w:kern w:val="0"/>
                <w:szCs w:val="21"/>
              </w:rPr>
            </w:pPr>
            <w:r>
              <w:rPr>
                <w:rFonts w:hint="eastAsia" w:cs="Times New Roman" w:asciiTheme="majorEastAsia" w:hAnsiTheme="majorEastAsia" w:eastAsiaTheme="majorEastAsia"/>
                <w:b/>
                <w:kern w:val="0"/>
                <w:szCs w:val="21"/>
              </w:rPr>
              <w:t>安全知识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（1）收银场所使用设备的安全常识；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（2）现金支票递送过程中的安全常识；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（3）特殊意外情况的安全常识；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（4）银行票据的安全常识；</w:t>
            </w:r>
          </w:p>
          <w:p>
            <w:pPr>
              <w:spacing w:line="0" w:lineRule="atLeas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（5）银行卡的安全常识；</w:t>
            </w:r>
          </w:p>
          <w:p>
            <w:pPr>
              <w:spacing w:line="0" w:lineRule="atLeast"/>
              <w:rPr>
                <w:rFonts w:cs="仿宋" w:asciiTheme="majorEastAsia" w:hAnsiTheme="majorEastAsia" w:eastAsiaTheme="majorEastAsia"/>
                <w:b/>
                <w:kern w:val="0"/>
                <w:szCs w:val="21"/>
              </w:rPr>
            </w:pPr>
            <w:r>
              <w:rPr>
                <w:rFonts w:hint="eastAsia" w:cs="Times New Roman" w:asciiTheme="majorEastAsia" w:hAnsiTheme="majorEastAsia" w:eastAsiaTheme="majorEastAsia"/>
                <w:kern w:val="0"/>
                <w:szCs w:val="21"/>
              </w:rPr>
              <w:t>（6）交易资料及机具保管的知识</w:t>
            </w:r>
          </w:p>
        </w:tc>
        <w:tc>
          <w:tcPr>
            <w:tcW w:w="3656" w:type="dxa"/>
          </w:tcPr>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（1）会制订合作经济组织发展规划，能组织引领合作经济组织活动；</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（2）能提供信息、技术、法律、政策等服务；</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（3）了解合作经济组织标准化生产的流程；</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（4）了解合作经济组织进行社会化服务的要求；</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（5）掌握合作经济组织资本运营和财务管理知识；</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（6）掌握合作经济组织间合作与协作的方法；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（7）掌握基本统计理论知识和业务技能；</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（8）能完成一个岗位或负责一个专业某一方面的统计业务工作；</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（9）了解统计制度和统计方法，能准确及时填报或汇总报表；</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（10）能拟定简单的统计调查方案，独立进行调查硏究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仿宋"/>
                <w:kern w:val="0"/>
                <w:szCs w:val="21"/>
              </w:rPr>
            </w:pPr>
          </w:p>
        </w:tc>
        <w:tc>
          <w:tcPr>
            <w:tcW w:w="1428" w:type="dxa"/>
            <w:vAlign w:val="center"/>
          </w:tcPr>
          <w:p>
            <w:pPr>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咨询与调查</w:t>
            </w:r>
          </w:p>
        </w:tc>
        <w:tc>
          <w:tcPr>
            <w:tcW w:w="1196" w:type="dxa"/>
            <w:vAlign w:val="center"/>
          </w:tcPr>
          <w:p>
            <w:pPr>
              <w:spacing w:line="0" w:lineRule="atLeast"/>
              <w:rPr>
                <w:rFonts w:ascii="宋体" w:hAnsi="宋体" w:eastAsia="宋体" w:cs="Times New Roman"/>
                <w:kern w:val="0"/>
                <w:szCs w:val="21"/>
              </w:rPr>
            </w:pPr>
            <w:r>
              <w:rPr>
                <w:rFonts w:hint="eastAsia" w:ascii="宋体" w:hAnsi="宋体" w:eastAsia="宋体" w:cs="Times New Roman"/>
                <w:kern w:val="0"/>
                <w:szCs w:val="21"/>
              </w:rPr>
              <w:t>会计专业人员、审计专业人员</w:t>
            </w:r>
          </w:p>
        </w:tc>
        <w:tc>
          <w:tcPr>
            <w:tcW w:w="1788" w:type="dxa"/>
            <w:vMerge w:val="continue"/>
          </w:tcPr>
          <w:p>
            <w:pPr>
              <w:spacing w:line="0" w:lineRule="atLeast"/>
              <w:rPr>
                <w:rFonts w:cs="Times New Roman" w:asciiTheme="majorEastAsia" w:hAnsiTheme="majorEastAsia" w:eastAsiaTheme="majorEastAsia"/>
                <w:b/>
                <w:kern w:val="0"/>
                <w:szCs w:val="21"/>
              </w:rPr>
            </w:pPr>
          </w:p>
        </w:tc>
        <w:tc>
          <w:tcPr>
            <w:tcW w:w="3656" w:type="dxa"/>
          </w:tcPr>
          <w:p>
            <w:pPr>
              <w:spacing w:line="0" w:lineRule="atLeast"/>
              <w:ind w:right="-105" w:rightChars="-50"/>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（1）掌握会计的基本原理和基本方法；</w:t>
            </w:r>
          </w:p>
          <w:p>
            <w:pPr>
              <w:spacing w:line="0" w:lineRule="atLeast"/>
              <w:ind w:right="-105" w:rightChars="-50"/>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（2）掌握货币资金管理的方法；</w:t>
            </w:r>
          </w:p>
          <w:p>
            <w:pPr>
              <w:spacing w:line="0" w:lineRule="atLeast"/>
              <w:ind w:right="-105" w:rightChars="-50"/>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（3）掌握企业主要经济业务的核算；</w:t>
            </w:r>
          </w:p>
          <w:p>
            <w:pPr>
              <w:spacing w:line="0" w:lineRule="atLeast"/>
              <w:ind w:right="-105" w:rightChars="-50"/>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（4）掌握会计电算化基础知识；</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（5）掌握国家财经税收法规及相关知识；</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（6）掌握财务会计报表的分析方法；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（7）掌握财务管理的基本原理和基本方法；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（8）掌握审计基础知识；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（9）熟悉财务软件的基本操作；</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（10）能熟练办理现金收支结算业务；</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（11）能按照规定登记库存现金、银行存款日记账和核对现金和银行存款；</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（12）能根据会计制度进行日常内部会计监督和审核；</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（13）能及时发现会计核算中存在的弊端并纠正；</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（14）能根据会计报表等资料分析企业财务状况；</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（15）能及时为企业决策提供财务信息；</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ascii="宋体" w:hAnsi="宋体" w:eastAsia="宋体" w:cs="宋体"/>
                <w:kern w:val="0"/>
                <w:szCs w:val="21"/>
                <w:lang w:val="zh-CN"/>
              </w:rPr>
              <w:t>*（16）了解区块链、大数据、智能会计等新技术的应用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restart"/>
            <w:vAlign w:val="center"/>
          </w:tcPr>
          <w:p>
            <w:pPr>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金融业（货币金融服务）</w:t>
            </w:r>
          </w:p>
        </w:tc>
        <w:tc>
          <w:tcPr>
            <w:tcW w:w="1428" w:type="dxa"/>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货币银行服务</w:t>
            </w:r>
          </w:p>
        </w:tc>
        <w:tc>
          <w:tcPr>
            <w:tcW w:w="1196" w:type="dxa"/>
            <w:vMerge w:val="restart"/>
            <w:vAlign w:val="center"/>
          </w:tcPr>
          <w:p>
            <w:pPr>
              <w:autoSpaceDE w:val="0"/>
              <w:autoSpaceDN w:val="0"/>
              <w:adjustRightInd w:val="0"/>
              <w:spacing w:line="0" w:lineRule="atLeast"/>
              <w:rPr>
                <w:rFonts w:ascii="宋体" w:hAnsi="宋体" w:eastAsia="宋体" w:cs="仿宋"/>
                <w:kern w:val="0"/>
                <w:szCs w:val="21"/>
              </w:rPr>
            </w:pPr>
            <w:r>
              <w:rPr>
                <w:rFonts w:hint="eastAsia" w:ascii="宋体" w:hAnsi="宋体" w:eastAsia="宋体" w:cs="仿宋"/>
                <w:kern w:val="0"/>
                <w:szCs w:val="21"/>
              </w:rPr>
              <w:t>金融专业人员</w:t>
            </w:r>
          </w:p>
        </w:tc>
        <w:tc>
          <w:tcPr>
            <w:tcW w:w="1788" w:type="dxa"/>
            <w:vMerge w:val="continue"/>
            <w:vAlign w:val="center"/>
          </w:tcPr>
          <w:p>
            <w:pPr>
              <w:spacing w:line="0" w:lineRule="atLeast"/>
              <w:rPr>
                <w:rFonts w:cs="Times New Roman" w:asciiTheme="majorEastAsia" w:hAnsiTheme="majorEastAsia" w:eastAsiaTheme="majorEastAsia"/>
                <w:kern w:val="0"/>
                <w:szCs w:val="21"/>
              </w:rPr>
            </w:pPr>
          </w:p>
        </w:tc>
        <w:tc>
          <w:tcPr>
            <w:tcW w:w="3656" w:type="dxa"/>
            <w:vMerge w:val="restart"/>
            <w:vAlign w:val="center"/>
          </w:tcPr>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（1）了解谈话技巧、信息收集与整理的知识；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（2）掌握语言表达方法、归纳与分析的方法和理财建议书的写作方法；</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（3）能运用与客户会谈的技巧，掌握客户的信息和清楚地介绍服务内容；</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（4）能分析客户的基本状况，掌握客户的理财目标和需求，为客户提供理财建议书，与客户签订理财合同；</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（5）了解会计原理和财务分析的知识；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（6）理解财务状况判断和财务发展趋势预测知识；</w:t>
            </w:r>
          </w:p>
          <w:p>
            <w:pPr>
              <w:spacing w:line="0" w:lineRule="atLeast"/>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（7）能对客户财务收支状况进行分析；</w:t>
            </w:r>
          </w:p>
          <w:p>
            <w:pPr>
              <w:spacing w:line="0" w:lineRule="atLeast"/>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（8）能判断客户财务现状和预测客户财务发展趋势；</w:t>
            </w:r>
          </w:p>
          <w:p>
            <w:pPr>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（9）了解理财、可行性报告写作、方案设计和民事证据的基本知识；</w:t>
            </w:r>
          </w:p>
          <w:p>
            <w:pPr>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（10）理解方案策划的基本要素；</w:t>
            </w:r>
          </w:p>
          <w:p>
            <w:pPr>
              <w:spacing w:line="0" w:lineRule="atLeast"/>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（11）能针对客户的需求独立设计可行性方案和根据客户意见、实际情况修改方案；</w:t>
            </w:r>
          </w:p>
          <w:p>
            <w:pPr>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（12）了解投资技巧的知识；</w:t>
            </w:r>
          </w:p>
          <w:p>
            <w:pPr>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（13）理解跟踪调查和撰写实施报告的方法；</w:t>
            </w:r>
          </w:p>
          <w:p>
            <w:pPr>
              <w:spacing w:line="0" w:lineRule="atLeast"/>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（14）能对方案的实施给予具体的操作指导，并及时进行调整和履行指导责任；</w:t>
            </w:r>
          </w:p>
          <w:p>
            <w:pPr>
              <w:spacing w:line="0" w:lineRule="atLeast"/>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（15）能及时收集客户的反馈意见，对方案的实施结果进行分析，并撰写报告；</w:t>
            </w:r>
          </w:p>
          <w:p>
            <w:pPr>
              <w:spacing w:line="0" w:lineRule="atLeast"/>
              <w:jc w:val="lef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（16）了解保险、信托、证券等金融基础知识；</w:t>
            </w:r>
          </w:p>
          <w:p>
            <w:pPr>
              <w:spacing w:line="0" w:lineRule="atLeast"/>
              <w:jc w:val="left"/>
              <w:rPr>
                <w:rFonts w:cs="仿宋" w:asciiTheme="majorEastAsia" w:hAnsiTheme="majorEastAsia" w:eastAsiaTheme="majorEastAsia"/>
                <w:kern w:val="0"/>
                <w:szCs w:val="21"/>
                <w:lang w:val="zh-CN"/>
              </w:rPr>
            </w:pPr>
            <w:r>
              <w:rPr>
                <w:rFonts w:hint="eastAsia" w:ascii="宋体" w:hAnsi="宋体" w:eastAsia="宋体" w:cs="宋体"/>
                <w:kern w:val="0"/>
                <w:szCs w:val="21"/>
                <w:lang w:val="zh-CN"/>
              </w:rPr>
              <w:t>*（17）了解金融业新产品和新工具的应用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widowControl/>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仿宋"/>
                <w:kern w:val="0"/>
                <w:szCs w:val="21"/>
              </w:rPr>
            </w:pPr>
            <w:r>
              <w:rPr>
                <w:rFonts w:hint="eastAsia" w:ascii="宋体" w:hAnsi="宋体" w:eastAsia="宋体" w:cs="Times New Roman"/>
                <w:szCs w:val="21"/>
              </w:rPr>
              <w:t>非货币银行服务</w:t>
            </w:r>
          </w:p>
        </w:tc>
        <w:tc>
          <w:tcPr>
            <w:tcW w:w="1196" w:type="dxa"/>
            <w:vMerge w:val="continue"/>
            <w:vAlign w:val="center"/>
          </w:tcPr>
          <w:p>
            <w:pPr>
              <w:autoSpaceDE w:val="0"/>
              <w:autoSpaceDN w:val="0"/>
              <w:adjustRightInd w:val="0"/>
              <w:spacing w:line="0" w:lineRule="atLeast"/>
              <w:rPr>
                <w:rFonts w:ascii="宋体" w:hAnsi="宋体" w:eastAsia="宋体" w:cs="仿宋"/>
                <w:kern w:val="0"/>
                <w:szCs w:val="21"/>
              </w:rPr>
            </w:pPr>
          </w:p>
        </w:tc>
        <w:tc>
          <w:tcPr>
            <w:tcW w:w="1788" w:type="dxa"/>
            <w:vMerge w:val="continue"/>
            <w:vAlign w:val="center"/>
          </w:tcPr>
          <w:p>
            <w:pPr>
              <w:spacing w:line="0" w:lineRule="atLeast"/>
              <w:rPr>
                <w:rFonts w:cs="Times New Roman" w:asciiTheme="majorEastAsia" w:hAnsiTheme="majorEastAsia" w:eastAsiaTheme="majorEastAsia"/>
                <w:kern w:val="0"/>
                <w:szCs w:val="21"/>
              </w:rPr>
            </w:pPr>
          </w:p>
        </w:tc>
        <w:tc>
          <w:tcPr>
            <w:tcW w:w="3656" w:type="dxa"/>
            <w:vMerge w:val="continue"/>
            <w:vAlign w:val="center"/>
          </w:tcPr>
          <w:p>
            <w:pPr>
              <w:autoSpaceDE w:val="0"/>
              <w:autoSpaceDN w:val="0"/>
              <w:adjustRightInd w:val="0"/>
              <w:spacing w:line="0" w:lineRule="atLeast"/>
              <w:rPr>
                <w:rFonts w:cs="仿宋" w:asciiTheme="majorEastAsia" w:hAnsiTheme="majorEastAsia"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widowControl/>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银行理财服务</w:t>
            </w:r>
          </w:p>
        </w:tc>
        <w:tc>
          <w:tcPr>
            <w:tcW w:w="1196" w:type="dxa"/>
            <w:vMerge w:val="continue"/>
            <w:vAlign w:val="center"/>
          </w:tcPr>
          <w:p>
            <w:pPr>
              <w:autoSpaceDE w:val="0"/>
              <w:autoSpaceDN w:val="0"/>
              <w:adjustRightInd w:val="0"/>
              <w:spacing w:line="0" w:lineRule="atLeast"/>
              <w:rPr>
                <w:rFonts w:ascii="宋体" w:hAnsi="宋体" w:eastAsia="宋体" w:cs="仿宋"/>
                <w:kern w:val="0"/>
                <w:szCs w:val="21"/>
              </w:rPr>
            </w:pPr>
          </w:p>
        </w:tc>
        <w:tc>
          <w:tcPr>
            <w:tcW w:w="1788" w:type="dxa"/>
            <w:vMerge w:val="continue"/>
            <w:vAlign w:val="center"/>
          </w:tcPr>
          <w:p>
            <w:pPr>
              <w:spacing w:line="0" w:lineRule="atLeast"/>
              <w:rPr>
                <w:rFonts w:cs="Times New Roman" w:asciiTheme="majorEastAsia" w:hAnsiTheme="majorEastAsia" w:eastAsiaTheme="majorEastAsia"/>
                <w:kern w:val="0"/>
                <w:szCs w:val="21"/>
              </w:rPr>
            </w:pPr>
          </w:p>
        </w:tc>
        <w:tc>
          <w:tcPr>
            <w:tcW w:w="3656" w:type="dxa"/>
            <w:vMerge w:val="continue"/>
            <w:vAlign w:val="center"/>
          </w:tcPr>
          <w:p>
            <w:pPr>
              <w:autoSpaceDE w:val="0"/>
              <w:autoSpaceDN w:val="0"/>
              <w:adjustRightInd w:val="0"/>
              <w:spacing w:line="0" w:lineRule="atLeast"/>
              <w:rPr>
                <w:rFonts w:cs="仿宋" w:asciiTheme="majorEastAsia" w:hAnsiTheme="majorEastAsia"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restart"/>
            <w:vAlign w:val="center"/>
          </w:tcPr>
          <w:p>
            <w:pPr>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金融业（资本市场服务）</w:t>
            </w: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证券市场服务</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公开募集证券投资基金</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非公开募集证券投资基金</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华文宋体" w:hAnsi="华文宋体" w:eastAsia="华文宋体" w:cs="华文宋体"/>
                <w:szCs w:val="21"/>
              </w:rPr>
            </w:pPr>
            <w:r>
              <w:rPr>
                <w:rFonts w:ascii="宋体" w:hAnsi="宋体" w:eastAsia="宋体" w:cs="Times New Roman"/>
                <w:szCs w:val="21"/>
              </w:rPr>
              <w:t>期货市场服务</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restart"/>
            <w:vAlign w:val="center"/>
          </w:tcPr>
          <w:p>
            <w:pPr>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金融业（保险业）</w:t>
            </w: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人身保险</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财产保险</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再保险</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商业养老金</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保险中介服务</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restart"/>
            <w:vAlign w:val="center"/>
          </w:tcPr>
          <w:p>
            <w:pPr>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金融业（其他金融业）</w:t>
            </w:r>
          </w:p>
        </w:tc>
        <w:tc>
          <w:tcPr>
            <w:tcW w:w="1428"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金融信托与管理服务</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非金融机构支付服务</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金融信息服务</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Times New Roman"/>
                <w:kern w:val="0"/>
                <w:szCs w:val="21"/>
              </w:rPr>
            </w:pPr>
          </w:p>
        </w:tc>
        <w:tc>
          <w:tcPr>
            <w:tcW w:w="1428" w:type="dxa"/>
            <w:vAlign w:val="center"/>
          </w:tcPr>
          <w:p>
            <w:pPr>
              <w:spacing w:line="0" w:lineRule="atLeast"/>
              <w:rPr>
                <w:rFonts w:ascii="宋体" w:hAnsi="宋体" w:eastAsia="宋体" w:cs="Times New Roman"/>
                <w:szCs w:val="21"/>
              </w:rPr>
            </w:pPr>
            <w:r>
              <w:rPr>
                <w:rFonts w:hint="eastAsia" w:ascii="宋体" w:hAnsi="宋体" w:eastAsia="宋体" w:cs="Times New Roman"/>
                <w:szCs w:val="21"/>
              </w:rPr>
              <w:t>金融资产管理公司</w:t>
            </w:r>
          </w:p>
        </w:tc>
        <w:tc>
          <w:tcPr>
            <w:tcW w:w="1196" w:type="dxa"/>
            <w:vMerge w:val="continue"/>
            <w:vAlign w:val="center"/>
          </w:tcPr>
          <w:p>
            <w:pPr>
              <w:autoSpaceDE w:val="0"/>
              <w:autoSpaceDN w:val="0"/>
              <w:adjustRightInd w:val="0"/>
              <w:spacing w:line="0" w:lineRule="atLeast"/>
              <w:jc w:val="center"/>
              <w:rPr>
                <w:rFonts w:ascii="宋体" w:hAnsi="宋体" w:eastAsia="宋体" w:cs="仿宋"/>
                <w:kern w:val="0"/>
                <w:szCs w:val="21"/>
              </w:rPr>
            </w:pPr>
          </w:p>
        </w:tc>
        <w:tc>
          <w:tcPr>
            <w:tcW w:w="1788"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c>
          <w:tcPr>
            <w:tcW w:w="3656" w:type="dxa"/>
            <w:vMerge w:val="continue"/>
          </w:tcPr>
          <w:p>
            <w:pPr>
              <w:autoSpaceDE w:val="0"/>
              <w:autoSpaceDN w:val="0"/>
              <w:adjustRightInd w:val="0"/>
              <w:spacing w:line="0" w:lineRule="atLeast"/>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其他行业</w:t>
            </w: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其他行政事业单位</w:t>
            </w:r>
          </w:p>
        </w:tc>
        <w:tc>
          <w:tcPr>
            <w:tcW w:w="1196" w:type="dxa"/>
            <w:vMerge w:val="restart"/>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lang w:val="zh-CN"/>
              </w:rPr>
              <w:t>收银员、</w:t>
            </w:r>
            <w:r>
              <w:rPr>
                <w:rFonts w:hint="eastAsia" w:ascii="宋体" w:hAnsi="宋体" w:eastAsia="宋体" w:cs="Times New Roman"/>
                <w:kern w:val="0"/>
                <w:szCs w:val="21"/>
              </w:rPr>
              <w:t>会计专业人员、统计专业人员</w:t>
            </w:r>
          </w:p>
        </w:tc>
        <w:tc>
          <w:tcPr>
            <w:tcW w:w="1788" w:type="dxa"/>
            <w:vMerge w:val="continue"/>
          </w:tcPr>
          <w:p>
            <w:pPr>
              <w:autoSpaceDE w:val="0"/>
              <w:autoSpaceDN w:val="0"/>
              <w:adjustRightInd w:val="0"/>
              <w:spacing w:line="0" w:lineRule="atLeast"/>
              <w:rPr>
                <w:rFonts w:cs="仿宋" w:asciiTheme="majorEastAsia" w:hAnsiTheme="majorEastAsia" w:eastAsiaTheme="majorEastAsia"/>
                <w:kern w:val="0"/>
                <w:szCs w:val="21"/>
                <w:lang w:val="zh-CN"/>
              </w:rPr>
            </w:pPr>
          </w:p>
        </w:tc>
        <w:tc>
          <w:tcPr>
            <w:tcW w:w="3656" w:type="dxa"/>
            <w:vMerge w:val="restart"/>
          </w:tcPr>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（1）了解收款机、POS机的使用方法及注意事项；</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（2）理解常用收款机、POS机的特点；</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（3）能按规定接通收款机、POS机电源、打开或关闭收款机、POS机；</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（4）能安装收款机打印纸和POS机签购单；</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（5）了解人民币现钞及防伪知识和技巧；</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（6）了解现钞鉴别设备使用常识和现钞防伪知识和技巧；</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（7）能清点、收取顾客交付的现钞和使用验钞机鉴别现钞真伪；</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（8）能输入交易明细；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（9）理解银行卡的定义、分类和识别；</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（10）了解银行卡防伪知识和技巧、受理要求和风险防范常识；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（11）能识别国内各类银行卡；</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（12）能使用POS机消费功能完成银行卡收银操作；</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（13）能打印签购单并进行持卡人签名核对工作，能使用POS机打印签购单和进行POS机结算、签退操作；</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（14）理解商业票据知识；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（15）了解现金、票据使用常识；</w:t>
            </w:r>
          </w:p>
          <w:p>
            <w:pPr>
              <w:autoSpaceDE w:val="0"/>
              <w:autoSpaceDN w:val="0"/>
              <w:adjustRightInd w:val="0"/>
              <w:spacing w:line="0" w:lineRule="atLeast"/>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（16）了解营业现金及票据上缴一般程序；</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（17）能按照销售款送存程序安全上缴现金及票据；</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（18）掌握单位会计事项核算方法；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（19）掌握单位经济活动会计监督和控制方法；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（20）能制订单位办理会计事务的具体办法；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（21）会拟订经济计划，能参与考核、分析财务计划的预算及执行；</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（22）掌握统计调查的方法；</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（23）会采集统计数据和资料；</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（24）会汇总、整理统计数据；</w:t>
            </w:r>
          </w:p>
          <w:p>
            <w:pPr>
              <w:spacing w:line="0" w:lineRule="atLeast"/>
              <w:ind w:right="-105" w:rightChars="-50"/>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lang w:val="zh-CN"/>
              </w:rPr>
              <w:t>（25）会分析统计数据和资料；</w:t>
            </w:r>
          </w:p>
          <w:p>
            <w:pPr>
              <w:spacing w:line="0" w:lineRule="atLeast"/>
              <w:ind w:right="-105" w:rightChars="-50"/>
              <w:rPr>
                <w:rFonts w:cs="仿宋" w:asciiTheme="majorEastAsia" w:hAnsiTheme="majorEastAsia" w:eastAsiaTheme="majorEastAsia"/>
                <w:kern w:val="0"/>
                <w:szCs w:val="21"/>
                <w:lang w:val="zh-CN"/>
              </w:rPr>
            </w:pPr>
            <w:r>
              <w:rPr>
                <w:rFonts w:hint="eastAsia" w:ascii="宋体" w:hAnsi="宋体" w:eastAsia="宋体" w:cs="宋体"/>
                <w:kern w:val="0"/>
                <w:szCs w:val="21"/>
                <w:lang w:val="zh-CN"/>
              </w:rPr>
              <w:t>*（26）了解会计、统计的发展前景和经济信息处理的新模式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2" w:type="dxa"/>
            <w:vMerge w:val="continue"/>
            <w:vAlign w:val="center"/>
          </w:tcPr>
          <w:p>
            <w:pPr>
              <w:spacing w:line="0" w:lineRule="atLeast"/>
              <w:jc w:val="center"/>
              <w:rPr>
                <w:rFonts w:ascii="宋体" w:hAnsi="宋体" w:eastAsia="宋体" w:cs="仿宋"/>
                <w:b/>
                <w:kern w:val="0"/>
                <w:szCs w:val="21"/>
              </w:rPr>
            </w:pPr>
          </w:p>
        </w:tc>
        <w:tc>
          <w:tcPr>
            <w:tcW w:w="1428" w:type="dxa"/>
            <w:vAlign w:val="center"/>
          </w:tcPr>
          <w:p>
            <w:pPr>
              <w:spacing w:line="0" w:lineRule="atLeast"/>
              <w:rPr>
                <w:rFonts w:ascii="宋体" w:hAnsi="宋体" w:eastAsia="宋体" w:cs="Times New Roman"/>
                <w:szCs w:val="21"/>
              </w:rPr>
            </w:pPr>
            <w:r>
              <w:rPr>
                <w:rFonts w:ascii="宋体" w:hAnsi="宋体" w:eastAsia="宋体" w:cs="Times New Roman"/>
                <w:szCs w:val="21"/>
              </w:rPr>
              <w:t>其他企业单位</w:t>
            </w:r>
          </w:p>
        </w:tc>
        <w:tc>
          <w:tcPr>
            <w:tcW w:w="1196" w:type="dxa"/>
            <w:vMerge w:val="continue"/>
            <w:vAlign w:val="center"/>
          </w:tcPr>
          <w:p>
            <w:pPr>
              <w:widowControl/>
              <w:spacing w:line="0" w:lineRule="atLeast"/>
              <w:jc w:val="center"/>
              <w:rPr>
                <w:rFonts w:ascii="宋体" w:hAnsi="宋体" w:eastAsia="宋体" w:cs="仿宋"/>
                <w:kern w:val="0"/>
                <w:szCs w:val="21"/>
                <w:lang w:val="zh-CN"/>
              </w:rPr>
            </w:pPr>
          </w:p>
        </w:tc>
        <w:tc>
          <w:tcPr>
            <w:tcW w:w="1788" w:type="dxa"/>
            <w:vMerge w:val="continue"/>
          </w:tcPr>
          <w:p>
            <w:pPr>
              <w:autoSpaceDE w:val="0"/>
              <w:autoSpaceDN w:val="0"/>
              <w:adjustRightInd w:val="0"/>
              <w:spacing w:line="0" w:lineRule="atLeast"/>
              <w:rPr>
                <w:rFonts w:ascii="宋体" w:hAnsi="宋体" w:eastAsia="宋体" w:cs="仿宋"/>
                <w:kern w:val="0"/>
                <w:szCs w:val="21"/>
                <w:lang w:val="zh-CN"/>
              </w:rPr>
            </w:pPr>
          </w:p>
        </w:tc>
        <w:tc>
          <w:tcPr>
            <w:tcW w:w="3656" w:type="dxa"/>
            <w:vMerge w:val="continue"/>
          </w:tcPr>
          <w:p>
            <w:pPr>
              <w:autoSpaceDE w:val="0"/>
              <w:autoSpaceDN w:val="0"/>
              <w:adjustRightInd w:val="0"/>
              <w:spacing w:line="0" w:lineRule="atLeast"/>
              <w:rPr>
                <w:rFonts w:ascii="宋体" w:hAnsi="宋体" w:eastAsia="宋体" w:cs="仿宋"/>
                <w:kern w:val="0"/>
                <w:szCs w:val="21"/>
                <w:lang w:val="zh-CN"/>
              </w:rPr>
            </w:pPr>
          </w:p>
        </w:tc>
      </w:tr>
    </w:tbl>
    <w:p>
      <w:pPr>
        <w:spacing w:line="400" w:lineRule="exact"/>
        <w:ind w:firstLine="360" w:firstLineChars="200"/>
        <w:rPr>
          <w:rFonts w:ascii="宋体" w:hAnsi="宋体" w:eastAsia="宋体" w:cs="仿宋"/>
          <w:sz w:val="18"/>
          <w:szCs w:val="18"/>
        </w:rPr>
      </w:pPr>
      <w:bookmarkStart w:id="3" w:name="_Hlk50041414"/>
      <w:r>
        <w:rPr>
          <w:rFonts w:hint="eastAsia" w:ascii="宋体" w:hAnsi="宋体" w:eastAsia="宋体" w:cs="仿宋"/>
          <w:sz w:val="18"/>
          <w:szCs w:val="18"/>
        </w:rPr>
        <w:t>注：其中加“*”的内容是适应现代会计服务业发展中的新技术、新规范等，在现有职业标准的基础上新增的知识点和技能点。</w:t>
      </w:r>
    </w:p>
    <w:p>
      <w:pPr>
        <w:spacing w:line="400" w:lineRule="exact"/>
        <w:ind w:firstLine="480" w:firstLineChars="200"/>
        <w:rPr>
          <w:rFonts w:ascii="宋体" w:hAnsi="宋体" w:eastAsia="宋体" w:cs="仿宋"/>
          <w:sz w:val="24"/>
        </w:rPr>
      </w:pPr>
      <w:r>
        <w:rPr>
          <w:rFonts w:hint="eastAsia" w:ascii="宋体" w:hAnsi="宋体" w:eastAsia="宋体" w:cs="仿宋"/>
          <w:sz w:val="24"/>
        </w:rPr>
        <w:t>服务会计工作“业财融合”和会计信息化发展等对复合型人才的需求，本专业类从财经综合化、大数据的视域出发，以财经信息处理为主线，基于财经专业基本法律法规、相关知识、工作领域和工作要求，根据中职的学习特点和目标定位，兼顾中高职培养衔接，依据行业通用能力和专业类通用学习内容分析表，设置本专业类平台课程，具体见表4。</w:t>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表4</w:t>
      </w:r>
      <w:r>
        <w:rPr>
          <w:rFonts w:ascii="宋体" w:hAnsi="宋体" w:eastAsia="宋体" w:cs="仿宋"/>
          <w:b/>
          <w:sz w:val="24"/>
          <w:szCs w:val="24"/>
        </w:rPr>
        <w:t xml:space="preserve"> </w:t>
      </w:r>
      <w:r>
        <w:rPr>
          <w:rFonts w:hint="eastAsia" w:ascii="宋体" w:hAnsi="宋体" w:eastAsia="宋体" w:cs="仿宋"/>
          <w:b/>
          <w:sz w:val="24"/>
          <w:szCs w:val="24"/>
        </w:rPr>
        <w:t>专业类平台课程设置及内容要求</w:t>
      </w:r>
    </w:p>
    <w:tbl>
      <w:tblPr>
        <w:tblStyle w:val="23"/>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481"/>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481" w:type="dxa"/>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5082" w:type="dxa"/>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autoSpaceDE w:val="0"/>
              <w:autoSpaceDN w:val="0"/>
              <w:adjustRightInd w:val="0"/>
              <w:spacing w:line="0" w:lineRule="atLeast"/>
              <w:jc w:val="center"/>
              <w:rPr>
                <w:rFonts w:ascii="宋体" w:hAnsi="宋体" w:eastAsia="宋体" w:cs="仿宋"/>
                <w:kern w:val="0"/>
                <w:szCs w:val="21"/>
              </w:rPr>
            </w:pPr>
            <w:r>
              <w:rPr>
                <w:rFonts w:hint="eastAsia" w:ascii="宋体" w:hAnsi="宋体" w:eastAsia="宋体" w:cs="仿宋"/>
                <w:kern w:val="0"/>
                <w:szCs w:val="21"/>
                <w:lang w:val="zh-CN"/>
              </w:rPr>
              <w:t>会计基础（1</w:t>
            </w:r>
            <w:r>
              <w:rPr>
                <w:rFonts w:ascii="宋体" w:hAnsi="宋体" w:eastAsia="宋体" w:cs="仿宋"/>
                <w:kern w:val="0"/>
                <w:szCs w:val="21"/>
                <w:lang w:val="zh-CN"/>
              </w:rPr>
              <w:t>80</w:t>
            </w:r>
            <w:r>
              <w:rPr>
                <w:rFonts w:hint="eastAsia" w:ascii="宋体" w:hAnsi="宋体" w:eastAsia="宋体" w:cs="仿宋"/>
                <w:kern w:val="0"/>
                <w:szCs w:val="21"/>
                <w:lang w:val="zh-CN"/>
              </w:rPr>
              <w:t>学时）</w:t>
            </w:r>
          </w:p>
        </w:tc>
        <w:tc>
          <w:tcPr>
            <w:tcW w:w="2481" w:type="dxa"/>
            <w:vAlign w:val="center"/>
          </w:tcPr>
          <w:p>
            <w:pPr>
              <w:adjustRightInd w:val="0"/>
              <w:snapToGrid w:val="0"/>
              <w:spacing w:line="0" w:lineRule="atLeast"/>
              <w:rPr>
                <w:rFonts w:ascii="宋体" w:hAnsi="宋体" w:eastAsia="宋体" w:cs="仿宋"/>
                <w:szCs w:val="21"/>
              </w:rPr>
            </w:pPr>
            <w:r>
              <w:rPr>
                <w:rFonts w:hint="eastAsia" w:ascii="宋体" w:hAnsi="宋体" w:eastAsia="宋体" w:cs="仿宋"/>
                <w:szCs w:val="21"/>
              </w:rPr>
              <w:t>（1）会计认知；</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（2）会计手工技能；</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3</w:t>
            </w:r>
            <w:r>
              <w:rPr>
                <w:rFonts w:hint="eastAsia" w:ascii="宋体" w:hAnsi="宋体" w:eastAsia="宋体" w:cs="仿宋"/>
                <w:szCs w:val="21"/>
              </w:rPr>
              <w:t>）借贷记账法；</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w:t>
            </w:r>
            <w:r>
              <w:rPr>
                <w:rFonts w:hint="eastAsia" w:ascii="宋体" w:hAnsi="宋体" w:eastAsia="宋体" w:cs="仿宋"/>
                <w:szCs w:val="21"/>
              </w:rPr>
              <w:t>）经济业务核算与常用会计软件应用；</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5</w:t>
            </w:r>
            <w:r>
              <w:rPr>
                <w:rFonts w:hint="eastAsia" w:ascii="宋体" w:hAnsi="宋体" w:eastAsia="宋体" w:cs="仿宋"/>
                <w:szCs w:val="21"/>
              </w:rPr>
              <w:t>）会计凭证与账簿处理；</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6</w:t>
            </w:r>
            <w:r>
              <w:rPr>
                <w:rFonts w:hint="eastAsia" w:ascii="宋体" w:hAnsi="宋体" w:eastAsia="宋体" w:cs="仿宋"/>
                <w:szCs w:val="21"/>
              </w:rPr>
              <w:t>）账务处理程序；</w:t>
            </w:r>
          </w:p>
          <w:p>
            <w:pPr>
              <w:adjustRightInd w:val="0"/>
              <w:snapToGrid w:val="0"/>
              <w:spacing w:line="0" w:lineRule="atLeast"/>
              <w:rPr>
                <w:rFonts w:ascii="宋体" w:hAnsi="宋体" w:eastAsia="宋体" w:cs="仿宋"/>
                <w:kern w:val="0"/>
                <w:szCs w:val="21"/>
              </w:rPr>
            </w:pPr>
            <w:r>
              <w:rPr>
                <w:rFonts w:hint="eastAsia" w:ascii="宋体" w:hAnsi="宋体" w:eastAsia="宋体" w:cs="仿宋"/>
                <w:szCs w:val="21"/>
              </w:rPr>
              <w:t>（</w:t>
            </w:r>
            <w:r>
              <w:rPr>
                <w:rFonts w:ascii="宋体" w:hAnsi="宋体" w:eastAsia="宋体" w:cs="仿宋"/>
                <w:szCs w:val="21"/>
              </w:rPr>
              <w:t>7</w:t>
            </w:r>
            <w:r>
              <w:rPr>
                <w:rFonts w:hint="eastAsia" w:ascii="宋体" w:hAnsi="宋体" w:eastAsia="宋体" w:cs="仿宋"/>
                <w:szCs w:val="21"/>
              </w:rPr>
              <w:t>）财产清查与财务报表编制</w:t>
            </w:r>
          </w:p>
        </w:tc>
        <w:tc>
          <w:tcPr>
            <w:tcW w:w="5082" w:type="dxa"/>
            <w:vAlign w:val="center"/>
          </w:tcPr>
          <w:p>
            <w:pPr>
              <w:adjustRightInd w:val="0"/>
              <w:snapToGrid w:val="0"/>
              <w:spacing w:line="0" w:lineRule="atLeast"/>
              <w:rPr>
                <w:rFonts w:ascii="宋体" w:hAnsi="宋体" w:eastAsia="宋体" w:cs="仿宋"/>
                <w:szCs w:val="21"/>
              </w:rPr>
            </w:pPr>
            <w:r>
              <w:rPr>
                <w:rFonts w:hint="eastAsia" w:ascii="宋体" w:hAnsi="宋体" w:eastAsia="宋体" w:cs="仿宋"/>
                <w:szCs w:val="21"/>
              </w:rPr>
              <w:t>（1）理解会计的概念、会计基本假设和会计信息质量要求，掌握会计核算基础；</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2</w:t>
            </w:r>
            <w:r>
              <w:rPr>
                <w:rFonts w:hint="eastAsia" w:ascii="宋体" w:hAnsi="宋体" w:eastAsia="宋体" w:cs="仿宋"/>
                <w:kern w:val="0"/>
                <w:szCs w:val="21"/>
                <w:lang w:val="zh-CN"/>
              </w:rPr>
              <w:t>）</w:t>
            </w:r>
            <w:r>
              <w:rPr>
                <w:rFonts w:hint="eastAsia" w:ascii="宋体" w:hAnsi="宋体" w:eastAsia="宋体" w:cs="仿宋"/>
                <w:szCs w:val="21"/>
              </w:rPr>
              <w:t>掌握</w:t>
            </w:r>
            <w:r>
              <w:rPr>
                <w:rFonts w:hint="eastAsia" w:ascii="宋体" w:hAnsi="宋体" w:eastAsia="宋体" w:cs="仿宋"/>
                <w:kern w:val="0"/>
                <w:szCs w:val="21"/>
                <w:lang w:val="zh-CN"/>
              </w:rPr>
              <w:t>会计数字与文字书写的基本要求，会规范</w:t>
            </w:r>
            <w:r>
              <w:rPr>
                <w:rFonts w:hint="eastAsia" w:ascii="宋体" w:hAnsi="宋体" w:eastAsia="宋体" w:cs="Times New Roman"/>
                <w:szCs w:val="21"/>
              </w:rPr>
              <w:t>书写会计数字与文字</w:t>
            </w:r>
            <w:r>
              <w:rPr>
                <w:rFonts w:hint="eastAsia" w:ascii="宋体" w:hAnsi="宋体" w:eastAsia="宋体" w:cs="仿宋"/>
                <w:kern w:val="0"/>
                <w:szCs w:val="21"/>
                <w:lang w:val="zh-CN"/>
              </w:rPr>
              <w:t>，了解珠算的发展历史和运算方法；</w:t>
            </w:r>
            <w:r>
              <w:rPr>
                <w:rFonts w:ascii="宋体" w:hAnsi="宋体" w:eastAsia="宋体" w:cs="仿宋"/>
                <w:kern w:val="0"/>
                <w:szCs w:val="21"/>
                <w:lang w:val="zh-CN"/>
              </w:rPr>
              <w:t xml:space="preserve"> </w:t>
            </w:r>
          </w:p>
          <w:p>
            <w:pPr>
              <w:spacing w:line="0" w:lineRule="atLeast"/>
              <w:ind w:right="-105" w:rightChars="-50"/>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3</w:t>
            </w:r>
            <w:r>
              <w:rPr>
                <w:rFonts w:hint="eastAsia" w:ascii="宋体" w:hAnsi="宋体" w:eastAsia="宋体" w:cs="仿宋"/>
                <w:kern w:val="0"/>
                <w:szCs w:val="21"/>
                <w:lang w:val="zh-CN"/>
              </w:rPr>
              <w:t>）掌握票据录入的基本指法，能熟练进行票据录入，</w:t>
            </w:r>
            <w:r>
              <w:rPr>
                <w:rFonts w:hint="eastAsia" w:ascii="宋体" w:hAnsi="宋体" w:eastAsia="宋体" w:cs="仿宋"/>
                <w:szCs w:val="21"/>
              </w:rPr>
              <w:t>掌握</w:t>
            </w:r>
            <w:r>
              <w:rPr>
                <w:rFonts w:hint="eastAsia" w:ascii="宋体" w:hAnsi="宋体" w:eastAsia="宋体" w:cs="仿宋"/>
                <w:kern w:val="0"/>
                <w:szCs w:val="21"/>
                <w:lang w:val="zh-CN"/>
              </w:rPr>
              <w:t>常见的点钞方法和要求，能准确点钞、验钞；</w:t>
            </w:r>
            <w:r>
              <w:rPr>
                <w:rFonts w:ascii="宋体" w:hAnsi="宋体" w:eastAsia="宋体" w:cs="仿宋"/>
                <w:kern w:val="0"/>
                <w:szCs w:val="21"/>
                <w:lang w:val="zh-CN"/>
              </w:rPr>
              <w:t xml:space="preserve"> </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w:t>
            </w:r>
            <w:r>
              <w:rPr>
                <w:rFonts w:hint="eastAsia" w:ascii="宋体" w:hAnsi="宋体" w:eastAsia="宋体" w:cs="仿宋"/>
                <w:szCs w:val="21"/>
              </w:rPr>
              <w:t>）理解会计要素的概念和会计等式原理，会分析交易或事项对会计等式的影响；</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（5）理解会计科目和账户的概念，了解会计科目与账户的关系，掌握借贷记账法的应用；</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6</w:t>
            </w:r>
            <w:r>
              <w:rPr>
                <w:rFonts w:hint="eastAsia" w:ascii="宋体" w:hAnsi="宋体" w:eastAsia="宋体" w:cs="仿宋"/>
                <w:szCs w:val="21"/>
              </w:rPr>
              <w:t>）掌握企业资金筹集、采购、生产、销售、利润形成和分配等环节基本经济业务核算；</w:t>
            </w:r>
          </w:p>
          <w:p>
            <w:pPr>
              <w:spacing w:line="0" w:lineRule="atLeast"/>
              <w:ind w:right="-105" w:rightChars="-50"/>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）会进行信息化平台下的初始设置和经济业务</w:t>
            </w:r>
            <w:r>
              <w:rPr>
                <w:rFonts w:hint="eastAsia" w:ascii="宋体" w:hAnsi="宋体" w:eastAsia="宋体" w:cs="仿宋"/>
                <w:szCs w:val="21"/>
              </w:rPr>
              <w:t>核算</w:t>
            </w:r>
            <w:r>
              <w:rPr>
                <w:rFonts w:hint="eastAsia" w:ascii="宋体" w:hAnsi="宋体" w:eastAsia="宋体" w:cs="仿宋"/>
                <w:kern w:val="0"/>
                <w:szCs w:val="21"/>
                <w:lang w:val="zh-CN"/>
              </w:rPr>
              <w:t>；</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8</w:t>
            </w:r>
            <w:r>
              <w:rPr>
                <w:rFonts w:hint="eastAsia" w:ascii="宋体" w:hAnsi="宋体" w:eastAsia="宋体" w:cs="仿宋"/>
                <w:szCs w:val="21"/>
              </w:rPr>
              <w:t>）掌握会计凭证与会计账簿的概念、种类，理解填制凭证和登记账簿的要求；</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9</w:t>
            </w:r>
            <w:r>
              <w:rPr>
                <w:rFonts w:hint="eastAsia" w:ascii="宋体" w:hAnsi="宋体" w:eastAsia="宋体" w:cs="仿宋"/>
                <w:szCs w:val="21"/>
              </w:rPr>
              <w:t>）会填制与审核原始凭证和记账凭证，会登记日记账、总账、明细账等主要会计账簿，会对账和结账，会选用错账更正方法；</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0</w:t>
            </w:r>
            <w:r>
              <w:rPr>
                <w:rFonts w:hint="eastAsia" w:ascii="宋体" w:hAnsi="宋体" w:eastAsia="宋体" w:cs="仿宋"/>
                <w:szCs w:val="21"/>
              </w:rPr>
              <w:t>）了解账务处理程序的概念、种类和常用账务处理程序的处理流程、特点、优缺点和适用范围，会运用记账凭证账务处理程序和科目汇总表账务处理程序；</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11</w:t>
            </w:r>
            <w:r>
              <w:rPr>
                <w:rFonts w:hint="eastAsia" w:ascii="宋体" w:hAnsi="宋体" w:eastAsia="宋体" w:cs="仿宋"/>
                <w:szCs w:val="21"/>
              </w:rPr>
              <w:t>）掌握财产清查的概念、分类和清查方法，会货币资金、实物资产和往来款项的清查和账务处理；</w:t>
            </w:r>
          </w:p>
          <w:p>
            <w:pPr>
              <w:adjustRightInd w:val="0"/>
              <w:snapToGrid w:val="0"/>
              <w:spacing w:line="0" w:lineRule="atLeast"/>
              <w:rPr>
                <w:rFonts w:ascii="宋体" w:hAnsi="宋体" w:eastAsia="宋体" w:cs="仿宋"/>
                <w:kern w:val="0"/>
                <w:szCs w:val="21"/>
                <w:lang w:val="zh-CN"/>
              </w:rPr>
            </w:pPr>
            <w:r>
              <w:rPr>
                <w:rFonts w:hint="eastAsia" w:ascii="宋体" w:hAnsi="宋体" w:eastAsia="宋体" w:cs="仿宋"/>
                <w:szCs w:val="21"/>
              </w:rPr>
              <w:t>（</w:t>
            </w:r>
            <w:r>
              <w:rPr>
                <w:rFonts w:ascii="宋体" w:hAnsi="宋体" w:eastAsia="宋体" w:cs="仿宋"/>
                <w:szCs w:val="21"/>
              </w:rPr>
              <w:t>12</w:t>
            </w:r>
            <w:r>
              <w:rPr>
                <w:rFonts w:hint="eastAsia" w:ascii="宋体" w:hAnsi="宋体" w:eastAsia="宋体" w:cs="仿宋"/>
                <w:szCs w:val="21"/>
              </w:rPr>
              <w:t>）掌握资产负债表和利润表的概念，了解其作用、格式和结构，会编制资产负债表和利润表的简表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widowControl/>
              <w:adjustRightInd w:val="0"/>
              <w:spacing w:line="0" w:lineRule="atLeast"/>
              <w:jc w:val="center"/>
              <w:rPr>
                <w:rFonts w:ascii="宋体" w:hAnsi="宋体" w:eastAsia="宋体" w:cs="仿宋"/>
                <w:bCs/>
                <w:szCs w:val="21"/>
              </w:rPr>
            </w:pPr>
            <w:r>
              <w:rPr>
                <w:rFonts w:hint="eastAsia" w:ascii="宋体" w:hAnsi="宋体" w:eastAsia="宋体" w:cs="仿宋"/>
                <w:bCs/>
                <w:szCs w:val="21"/>
              </w:rPr>
              <w:t>财务与金融认知</w:t>
            </w:r>
          </w:p>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bCs/>
                <w:szCs w:val="21"/>
              </w:rPr>
              <w:t>（</w:t>
            </w:r>
            <w:r>
              <w:rPr>
                <w:rFonts w:ascii="宋体" w:hAnsi="宋体" w:eastAsia="宋体" w:cs="仿宋"/>
                <w:bCs/>
                <w:szCs w:val="21"/>
              </w:rPr>
              <w:t>72</w:t>
            </w:r>
            <w:r>
              <w:rPr>
                <w:rFonts w:hint="eastAsia" w:ascii="宋体" w:hAnsi="宋体" w:eastAsia="宋体" w:cs="仿宋"/>
                <w:bCs/>
                <w:szCs w:val="21"/>
              </w:rPr>
              <w:t>学时）</w:t>
            </w:r>
          </w:p>
        </w:tc>
        <w:tc>
          <w:tcPr>
            <w:tcW w:w="2481" w:type="dxa"/>
            <w:vAlign w:val="center"/>
          </w:tcPr>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（1）企业生产认知；</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（2）企业本量利分析；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（3）企业财务关系分析；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4</w:t>
            </w:r>
            <w:r>
              <w:rPr>
                <w:rFonts w:hint="eastAsia" w:ascii="宋体" w:hAnsi="宋体" w:eastAsia="宋体" w:cs="仿宋"/>
                <w:kern w:val="0"/>
                <w:szCs w:val="21"/>
                <w:lang w:val="zh-CN"/>
              </w:rPr>
              <w:t>）资金来源及成本；</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5</w:t>
            </w:r>
            <w:r>
              <w:rPr>
                <w:rFonts w:hint="eastAsia" w:ascii="宋体" w:hAnsi="宋体" w:eastAsia="宋体" w:cs="仿宋"/>
                <w:kern w:val="0"/>
                <w:szCs w:val="21"/>
                <w:lang w:val="zh-CN"/>
              </w:rPr>
              <w:t>）财务指标与分析；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6</w:t>
            </w:r>
            <w:r>
              <w:rPr>
                <w:rFonts w:hint="eastAsia" w:ascii="宋体" w:hAnsi="宋体" w:eastAsia="宋体" w:cs="仿宋"/>
                <w:kern w:val="0"/>
                <w:szCs w:val="21"/>
                <w:lang w:val="zh-CN"/>
              </w:rPr>
              <w:t>）商业银行业务；</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）证券与保险</w:t>
            </w:r>
            <w:r>
              <w:rPr>
                <w:rFonts w:hint="eastAsia" w:ascii="宋体" w:hAnsi="宋体" w:eastAsia="宋体" w:cs="仿宋"/>
                <w:kern w:val="0"/>
                <w:szCs w:val="21"/>
              </w:rPr>
              <w:t>业务</w:t>
            </w:r>
            <w:r>
              <w:rPr>
                <w:rFonts w:hint="eastAsia" w:ascii="宋体" w:hAnsi="宋体" w:eastAsia="宋体" w:cs="仿宋"/>
                <w:kern w:val="0"/>
                <w:szCs w:val="21"/>
                <w:lang w:val="zh-CN"/>
              </w:rPr>
              <w:t>；</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8</w:t>
            </w:r>
            <w:r>
              <w:rPr>
                <w:rFonts w:hint="eastAsia" w:ascii="宋体" w:hAnsi="宋体" w:eastAsia="宋体" w:cs="仿宋"/>
                <w:kern w:val="0"/>
                <w:szCs w:val="21"/>
                <w:lang w:val="zh-CN"/>
              </w:rPr>
              <w:t>）其他金融业务</w:t>
            </w:r>
          </w:p>
        </w:tc>
        <w:tc>
          <w:tcPr>
            <w:tcW w:w="5082"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（1）了解企业的生产要素及其管理，熟悉企业基本生产组织方式；</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（2）掌握企业产品的供求关系和定价因素；</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（3）理解产量、成本和利润的概念及其关系，会简单计算</w:t>
            </w:r>
            <w:r>
              <w:rPr>
                <w:rFonts w:hint="eastAsia" w:ascii="宋体" w:hAnsi="宋体" w:eastAsia="宋体" w:cs="仿宋"/>
                <w:kern w:val="0"/>
                <w:szCs w:val="21"/>
              </w:rPr>
              <w:t>有关因素变动对保本点的影响</w:t>
            </w:r>
            <w:r>
              <w:rPr>
                <w:rFonts w:hint="eastAsia" w:ascii="宋体" w:hAnsi="宋体" w:eastAsia="宋体" w:cs="仿宋"/>
                <w:kern w:val="0"/>
                <w:szCs w:val="21"/>
                <w:lang w:val="zh-CN"/>
              </w:rPr>
              <w:t>；</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（4）熟知边际收益递减规律，理解规模经济、会计成本与机会成本和会计利润与经济利润的概念；</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（5）了解财务管理的</w:t>
            </w:r>
            <w:r>
              <w:rPr>
                <w:rFonts w:hint="eastAsia" w:ascii="宋体" w:hAnsi="宋体" w:eastAsia="宋体" w:cs="仿宋"/>
                <w:kern w:val="0"/>
                <w:szCs w:val="21"/>
              </w:rPr>
              <w:t>概念、</w:t>
            </w:r>
            <w:r>
              <w:rPr>
                <w:rFonts w:hint="eastAsia" w:ascii="宋体" w:hAnsi="宋体" w:eastAsia="宋体" w:cs="仿宋"/>
                <w:kern w:val="0"/>
                <w:szCs w:val="21"/>
                <w:lang w:val="zh-CN"/>
              </w:rPr>
              <w:t>目标、内容、环节；</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（6）了解主要财务关系</w:t>
            </w:r>
            <w:r>
              <w:rPr>
                <w:rFonts w:hint="eastAsia" w:ascii="宋体" w:hAnsi="宋体" w:eastAsia="宋体" w:cs="仿宋"/>
                <w:kern w:val="0"/>
                <w:szCs w:val="21"/>
              </w:rPr>
              <w:t>人</w:t>
            </w:r>
            <w:r>
              <w:rPr>
                <w:rFonts w:hint="eastAsia" w:ascii="宋体" w:hAnsi="宋体" w:eastAsia="宋体" w:cs="仿宋"/>
                <w:kern w:val="0"/>
                <w:szCs w:val="21"/>
                <w:lang w:val="zh-CN"/>
              </w:rPr>
              <w:t>的概念，会分析和处理企业与不同主体的财务关系；</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）掌握企业筹资的渠道和方式，企业权益筹资方式与债务筹资方式的特点；</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（8）理解资</w:t>
            </w:r>
            <w:r>
              <w:rPr>
                <w:rFonts w:hint="eastAsia" w:ascii="宋体" w:hAnsi="宋体" w:eastAsia="宋体" w:cs="仿宋"/>
                <w:kern w:val="0"/>
                <w:szCs w:val="21"/>
              </w:rPr>
              <w:t>本</w:t>
            </w:r>
            <w:r>
              <w:rPr>
                <w:rFonts w:hint="eastAsia" w:ascii="宋体" w:hAnsi="宋体" w:eastAsia="宋体" w:cs="仿宋"/>
                <w:kern w:val="0"/>
                <w:szCs w:val="21"/>
                <w:lang w:val="zh-CN"/>
              </w:rPr>
              <w:t>成本的概念，不考虑货币时间价值下会计算资本成本；</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（9）熟悉财务分析的方法，会计算偿债能力指标、营运能力指标、盈利能力指标和发展能力指标；</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0</w:t>
            </w:r>
            <w:r>
              <w:rPr>
                <w:rFonts w:hint="eastAsia" w:ascii="宋体" w:hAnsi="宋体" w:eastAsia="宋体" w:cs="仿宋"/>
                <w:kern w:val="0"/>
                <w:szCs w:val="21"/>
                <w:lang w:val="zh-CN"/>
              </w:rPr>
              <w:t>）了解</w:t>
            </w:r>
            <w:r>
              <w:rPr>
                <w:rFonts w:hint="eastAsia" w:ascii="宋体" w:hAnsi="宋体" w:eastAsia="宋体" w:cs="仿宋"/>
                <w:kern w:val="0"/>
                <w:szCs w:val="21"/>
              </w:rPr>
              <w:t>我国银行的</w:t>
            </w:r>
            <w:r>
              <w:rPr>
                <w:rFonts w:hint="eastAsia" w:ascii="宋体" w:hAnsi="宋体" w:eastAsia="宋体" w:cs="仿宋"/>
                <w:kern w:val="0"/>
                <w:szCs w:val="21"/>
                <w:lang w:val="zh-CN"/>
              </w:rPr>
              <w:t>类型和体系，</w:t>
            </w:r>
            <w:r>
              <w:rPr>
                <w:rFonts w:hint="eastAsia" w:ascii="宋体" w:hAnsi="宋体" w:eastAsia="宋体" w:cs="仿宋"/>
                <w:kern w:val="0"/>
                <w:szCs w:val="21"/>
              </w:rPr>
              <w:t>了解</w:t>
            </w:r>
            <w:r>
              <w:rPr>
                <w:rFonts w:hint="eastAsia" w:ascii="宋体" w:hAnsi="宋体" w:eastAsia="宋体" w:cs="仿宋"/>
                <w:kern w:val="0"/>
                <w:szCs w:val="21"/>
                <w:lang w:val="zh-CN"/>
              </w:rPr>
              <w:t>商业银行的</w:t>
            </w:r>
            <w:r>
              <w:rPr>
                <w:rFonts w:hint="eastAsia" w:ascii="宋体" w:hAnsi="宋体" w:eastAsia="宋体" w:cs="仿宋"/>
                <w:kern w:val="0"/>
                <w:szCs w:val="21"/>
              </w:rPr>
              <w:t>概念、</w:t>
            </w:r>
            <w:r>
              <w:rPr>
                <w:rFonts w:hint="eastAsia" w:ascii="宋体" w:hAnsi="宋体" w:eastAsia="宋体" w:cs="仿宋"/>
                <w:kern w:val="0"/>
                <w:szCs w:val="21"/>
                <w:lang w:val="zh-CN"/>
              </w:rPr>
              <w:t>性质、职能；</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1</w:t>
            </w:r>
            <w:r>
              <w:rPr>
                <w:rFonts w:hint="eastAsia" w:ascii="宋体" w:hAnsi="宋体" w:eastAsia="宋体" w:cs="仿宋"/>
                <w:kern w:val="0"/>
                <w:szCs w:val="21"/>
                <w:lang w:val="zh-CN"/>
              </w:rPr>
              <w:t>）了解商业银行的负债业务、资产业务和中间业务；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2</w:t>
            </w:r>
            <w:r>
              <w:rPr>
                <w:rFonts w:hint="eastAsia" w:ascii="宋体" w:hAnsi="宋体" w:eastAsia="宋体" w:cs="仿宋"/>
                <w:kern w:val="0"/>
                <w:szCs w:val="21"/>
                <w:lang w:val="zh-CN"/>
              </w:rPr>
              <w:t>）了解股票、债券、基金的</w:t>
            </w:r>
            <w:r>
              <w:rPr>
                <w:rFonts w:hint="eastAsia" w:ascii="宋体" w:hAnsi="宋体" w:eastAsia="宋体" w:cs="仿宋"/>
                <w:kern w:val="0"/>
                <w:szCs w:val="21"/>
              </w:rPr>
              <w:t>概念、</w:t>
            </w:r>
            <w:r>
              <w:rPr>
                <w:rFonts w:hint="eastAsia" w:ascii="宋体" w:hAnsi="宋体" w:eastAsia="宋体" w:cs="仿宋"/>
                <w:kern w:val="0"/>
                <w:szCs w:val="21"/>
                <w:lang w:val="zh-CN"/>
              </w:rPr>
              <w:t>类型、收益与风险；</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3</w:t>
            </w:r>
            <w:r>
              <w:rPr>
                <w:rFonts w:hint="eastAsia" w:ascii="宋体" w:hAnsi="宋体" w:eastAsia="宋体" w:cs="仿宋"/>
                <w:kern w:val="0"/>
                <w:szCs w:val="21"/>
                <w:lang w:val="zh-CN"/>
              </w:rPr>
              <w:t>）了解保险的</w:t>
            </w:r>
            <w:r>
              <w:rPr>
                <w:rFonts w:hint="eastAsia" w:ascii="宋体" w:hAnsi="宋体" w:eastAsia="宋体" w:cs="仿宋"/>
                <w:kern w:val="0"/>
                <w:szCs w:val="21"/>
              </w:rPr>
              <w:t>概念、</w:t>
            </w:r>
            <w:r>
              <w:rPr>
                <w:rFonts w:hint="eastAsia" w:ascii="宋体" w:hAnsi="宋体" w:eastAsia="宋体" w:cs="仿宋"/>
                <w:kern w:val="0"/>
                <w:szCs w:val="21"/>
                <w:lang w:val="zh-CN"/>
              </w:rPr>
              <w:t>种类、基本原则及其业务和管理；</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4</w:t>
            </w:r>
            <w:r>
              <w:rPr>
                <w:rFonts w:hint="eastAsia" w:ascii="宋体" w:hAnsi="宋体" w:eastAsia="宋体" w:cs="仿宋"/>
                <w:kern w:val="0"/>
                <w:szCs w:val="21"/>
                <w:lang w:val="zh-CN"/>
              </w:rPr>
              <w:t>）了解信托的概念、形成条件、种类及</w:t>
            </w:r>
            <w:r>
              <w:rPr>
                <w:rFonts w:hint="eastAsia" w:ascii="宋体" w:hAnsi="宋体" w:eastAsia="宋体" w:cs="仿宋"/>
                <w:kern w:val="0"/>
                <w:szCs w:val="21"/>
              </w:rPr>
              <w:t>其业务开展</w:t>
            </w:r>
            <w:r>
              <w:rPr>
                <w:rFonts w:hint="eastAsia" w:ascii="宋体" w:hAnsi="宋体" w:eastAsia="宋体" w:cs="仿宋"/>
                <w:kern w:val="0"/>
                <w:szCs w:val="21"/>
                <w:lang w:val="zh-CN"/>
              </w:rPr>
              <w:t>；</w:t>
            </w:r>
          </w:p>
          <w:p>
            <w:pPr>
              <w:widowControl/>
              <w:adjustRightInd w:val="0"/>
              <w:spacing w:line="0" w:lineRule="atLeast"/>
              <w:rPr>
                <w:rFonts w:ascii="宋体" w:hAnsi="宋体" w:eastAsia="宋体" w:cs="仿宋"/>
                <w:kern w:val="0"/>
                <w:szCs w:val="21"/>
              </w:rPr>
            </w:pPr>
            <w:r>
              <w:rPr>
                <w:rFonts w:hint="eastAsia" w:ascii="宋体" w:hAnsi="宋体" w:eastAsia="宋体" w:cs="仿宋"/>
                <w:kern w:val="0"/>
                <w:szCs w:val="21"/>
                <w:lang w:val="zh-CN"/>
              </w:rPr>
              <w:t>（1</w:t>
            </w:r>
            <w:r>
              <w:rPr>
                <w:rFonts w:ascii="宋体" w:hAnsi="宋体" w:eastAsia="宋体" w:cs="仿宋"/>
                <w:kern w:val="0"/>
                <w:szCs w:val="21"/>
                <w:lang w:val="zh-CN"/>
              </w:rPr>
              <w:t>5</w:t>
            </w:r>
            <w:r>
              <w:rPr>
                <w:rFonts w:hint="eastAsia" w:ascii="宋体" w:hAnsi="宋体" w:eastAsia="宋体" w:cs="仿宋"/>
                <w:kern w:val="0"/>
                <w:szCs w:val="21"/>
                <w:lang w:val="zh-CN"/>
              </w:rPr>
              <w:t>）了解金融租赁的概念、特征</w:t>
            </w:r>
            <w:r>
              <w:rPr>
                <w:rFonts w:hint="eastAsia" w:ascii="宋体" w:hAnsi="宋体" w:eastAsia="宋体" w:cs="仿宋"/>
                <w:kern w:val="0"/>
                <w:szCs w:val="21"/>
              </w:rPr>
              <w:t>和种类；</w:t>
            </w:r>
          </w:p>
          <w:p>
            <w:pPr>
              <w:widowControl/>
              <w:adjustRightInd w:val="0"/>
              <w:spacing w:line="0" w:lineRule="atLeast"/>
              <w:rPr>
                <w:rFonts w:ascii="宋体" w:hAnsi="宋体" w:eastAsia="宋体" w:cs="仿宋"/>
                <w:kern w:val="0"/>
                <w:szCs w:val="21"/>
              </w:rPr>
            </w:pPr>
            <w:r>
              <w:rPr>
                <w:rFonts w:hint="eastAsia" w:ascii="宋体" w:hAnsi="宋体" w:eastAsia="宋体" w:cs="仿宋"/>
                <w:kern w:val="0"/>
                <w:szCs w:val="21"/>
                <w:lang w:val="zh-CN"/>
              </w:rPr>
              <w:t>（</w:t>
            </w:r>
            <w:r>
              <w:rPr>
                <w:rFonts w:hint="eastAsia" w:ascii="宋体" w:hAnsi="宋体" w:eastAsia="宋体" w:cs="仿宋"/>
                <w:kern w:val="0"/>
                <w:szCs w:val="21"/>
              </w:rPr>
              <w:t>16）了解金融创新业务的种类及其特征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统计技术应用</w:t>
            </w:r>
          </w:p>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（72学时）</w:t>
            </w:r>
          </w:p>
        </w:tc>
        <w:tc>
          <w:tcPr>
            <w:tcW w:w="2481" w:type="dxa"/>
            <w:vAlign w:val="center"/>
          </w:tcPr>
          <w:p>
            <w:pPr>
              <w:adjustRightInd w:val="0"/>
              <w:snapToGrid w:val="0"/>
              <w:spacing w:line="0" w:lineRule="atLeast"/>
              <w:rPr>
                <w:rFonts w:ascii="宋体" w:hAnsi="宋体" w:eastAsia="宋体" w:cs="仿宋"/>
                <w:szCs w:val="21"/>
              </w:rPr>
            </w:pPr>
            <w:r>
              <w:rPr>
                <w:rFonts w:hint="eastAsia" w:ascii="宋体" w:hAnsi="宋体" w:eastAsia="宋体" w:cs="仿宋"/>
                <w:szCs w:val="21"/>
              </w:rPr>
              <w:t>（1）统计认知；</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（2）数据搜集；</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（3）数据整理；</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（4）数据描述；</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（5）数据静态分析；</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（6）数据动态分析；</w:t>
            </w:r>
          </w:p>
          <w:p>
            <w:pPr>
              <w:autoSpaceDE w:val="0"/>
              <w:autoSpaceDN w:val="0"/>
              <w:adjustRightInd w:val="0"/>
              <w:spacing w:line="0" w:lineRule="atLeast"/>
              <w:rPr>
                <w:rFonts w:ascii="宋体" w:hAnsi="宋体" w:eastAsia="宋体" w:cs="仿宋"/>
                <w:szCs w:val="21"/>
              </w:rPr>
            </w:pPr>
            <w:r>
              <w:rPr>
                <w:rFonts w:hint="eastAsia" w:ascii="宋体" w:hAnsi="宋体" w:eastAsia="宋体" w:cs="仿宋"/>
                <w:szCs w:val="21"/>
              </w:rPr>
              <w:t>（7）数据指数分析</w:t>
            </w:r>
          </w:p>
        </w:tc>
        <w:tc>
          <w:tcPr>
            <w:tcW w:w="5082" w:type="dxa"/>
          </w:tcPr>
          <w:p>
            <w:pPr>
              <w:spacing w:line="0" w:lineRule="atLeast"/>
              <w:rPr>
                <w:rFonts w:ascii="宋体" w:hAnsi="宋体" w:eastAsia="宋体" w:cs="仿宋"/>
                <w:szCs w:val="21"/>
              </w:rPr>
            </w:pPr>
            <w:r>
              <w:rPr>
                <w:rFonts w:hint="eastAsia" w:ascii="宋体" w:hAnsi="宋体" w:eastAsia="宋体" w:cs="仿宋"/>
                <w:szCs w:val="21"/>
              </w:rPr>
              <w:t>（1）了解统计、统计数据的概念、统计工作的内容、过程和工作成果；</w:t>
            </w:r>
          </w:p>
          <w:p>
            <w:pPr>
              <w:spacing w:line="0" w:lineRule="atLeast"/>
              <w:rPr>
                <w:rFonts w:ascii="宋体" w:hAnsi="宋体" w:eastAsia="宋体" w:cs="仿宋"/>
                <w:szCs w:val="21"/>
              </w:rPr>
            </w:pPr>
            <w:r>
              <w:rPr>
                <w:rFonts w:hint="eastAsia" w:ascii="宋体" w:hAnsi="宋体" w:eastAsia="宋体" w:cs="仿宋"/>
                <w:szCs w:val="21"/>
              </w:rPr>
              <w:t>（2）理解总体与总体单位、标志与指标、变异与变量的概念和关系；</w:t>
            </w:r>
          </w:p>
          <w:p>
            <w:pPr>
              <w:spacing w:line="0" w:lineRule="atLeast"/>
              <w:rPr>
                <w:rFonts w:ascii="宋体" w:hAnsi="宋体" w:eastAsia="宋体" w:cs="仿宋"/>
                <w:szCs w:val="21"/>
              </w:rPr>
            </w:pPr>
            <w:r>
              <w:rPr>
                <w:rFonts w:hint="eastAsia" w:ascii="宋体" w:hAnsi="宋体" w:eastAsia="宋体" w:cs="仿宋"/>
                <w:szCs w:val="21"/>
              </w:rPr>
              <w:t>（3）能选用合适的调查方法，会编写统计调查方案，会设计调查问卷，会搜集原始资料和次级资料；</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w:t>
            </w:r>
            <w:r>
              <w:rPr>
                <w:rFonts w:hint="eastAsia" w:ascii="宋体" w:hAnsi="宋体" w:eastAsia="宋体" w:cs="仿宋"/>
                <w:szCs w:val="21"/>
              </w:rPr>
              <w:t>）了解数据整理内容、方法和步骤；</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5</w:t>
            </w:r>
            <w:r>
              <w:rPr>
                <w:rFonts w:hint="eastAsia" w:ascii="宋体" w:hAnsi="宋体" w:eastAsia="宋体" w:cs="仿宋"/>
                <w:szCs w:val="21"/>
              </w:rPr>
              <w:t>）会使用统计软件进行数据排序、筛选、分组和汇总，会编制分配数列；</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6</w:t>
            </w:r>
            <w:r>
              <w:rPr>
                <w:rFonts w:hint="eastAsia" w:ascii="宋体" w:hAnsi="宋体" w:eastAsia="宋体" w:cs="仿宋"/>
                <w:szCs w:val="21"/>
              </w:rPr>
              <w:t>）会编制简单统计表，会绘制简单统计图；</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7</w:t>
            </w:r>
            <w:r>
              <w:rPr>
                <w:rFonts w:hint="eastAsia" w:ascii="宋体" w:hAnsi="宋体" w:eastAsia="宋体" w:cs="仿宋"/>
                <w:szCs w:val="21"/>
              </w:rPr>
              <w:t>）了解静态指标的作用，能合理区分静态指标的类型；</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8</w:t>
            </w:r>
            <w:r>
              <w:rPr>
                <w:rFonts w:hint="eastAsia" w:ascii="宋体" w:hAnsi="宋体" w:eastAsia="宋体" w:cs="仿宋"/>
                <w:szCs w:val="21"/>
              </w:rPr>
              <w:t>）会计算分析总量指标、相对指标、平均指标和标志变异指标；</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9</w:t>
            </w:r>
            <w:r>
              <w:rPr>
                <w:rFonts w:hint="eastAsia" w:ascii="宋体" w:hAnsi="宋体" w:eastAsia="宋体" w:cs="仿宋"/>
                <w:szCs w:val="21"/>
              </w:rPr>
              <w:t>）了解动态数列的作用，能合理区分动态数列的类型；</w:t>
            </w:r>
          </w:p>
          <w:p>
            <w:pPr>
              <w:spacing w:line="0" w:lineRule="atLeast"/>
              <w:rPr>
                <w:rFonts w:ascii="宋体" w:hAnsi="宋体" w:eastAsia="宋体" w:cs="仿宋"/>
                <w:szCs w:val="21"/>
              </w:rPr>
            </w:pPr>
            <w:r>
              <w:rPr>
                <w:rFonts w:hint="eastAsia" w:ascii="宋体" w:hAnsi="宋体" w:eastAsia="宋体" w:cs="仿宋"/>
                <w:szCs w:val="21"/>
              </w:rPr>
              <w:t>（10）理解动态数列的数据应用，会识别动态数列；</w:t>
            </w:r>
          </w:p>
          <w:p>
            <w:pPr>
              <w:spacing w:line="0" w:lineRule="atLeast"/>
              <w:rPr>
                <w:rFonts w:ascii="宋体" w:hAnsi="宋体" w:eastAsia="宋体" w:cs="仿宋"/>
                <w:szCs w:val="21"/>
              </w:rPr>
            </w:pPr>
            <w:r>
              <w:rPr>
                <w:rFonts w:hint="eastAsia" w:ascii="宋体" w:hAnsi="宋体" w:eastAsia="宋体" w:cs="仿宋"/>
                <w:szCs w:val="21"/>
              </w:rPr>
              <w:t>（11）会编制动态数列，并进行水平分析、速度分析和趋势分析；</w:t>
            </w:r>
          </w:p>
          <w:p>
            <w:pPr>
              <w:spacing w:line="0" w:lineRule="atLeast"/>
              <w:rPr>
                <w:rFonts w:ascii="宋体" w:hAnsi="宋体" w:eastAsia="宋体" w:cs="仿宋"/>
                <w:szCs w:val="21"/>
              </w:rPr>
            </w:pPr>
            <w:r>
              <w:rPr>
                <w:rFonts w:hint="eastAsia" w:ascii="宋体" w:hAnsi="宋体" w:eastAsia="宋体" w:cs="仿宋"/>
                <w:szCs w:val="21"/>
              </w:rPr>
              <w:t>（12）知晓统计指数概念、种类和作用，会计算和分析综合指数和平均指数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autoSpaceDE w:val="0"/>
              <w:autoSpaceDN w:val="0"/>
              <w:adjustRightInd w:val="0"/>
              <w:spacing w:line="0" w:lineRule="atLeast"/>
              <w:jc w:val="center"/>
              <w:rPr>
                <w:rFonts w:ascii="宋体" w:hAnsi="宋体" w:eastAsia="宋体" w:cs="仿宋"/>
                <w:kern w:val="0"/>
                <w:szCs w:val="21"/>
              </w:rPr>
            </w:pPr>
            <w:r>
              <w:rPr>
                <w:rFonts w:hint="eastAsia" w:ascii="宋体" w:hAnsi="宋体" w:eastAsia="宋体" w:cs="仿宋"/>
                <w:kern w:val="0"/>
                <w:szCs w:val="21"/>
              </w:rPr>
              <w:t>经济法基础</w:t>
            </w:r>
          </w:p>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w:t>
            </w:r>
            <w:r>
              <w:rPr>
                <w:rFonts w:ascii="宋体" w:hAnsi="宋体" w:eastAsia="宋体" w:cs="仿宋"/>
                <w:kern w:val="0"/>
                <w:szCs w:val="21"/>
              </w:rPr>
              <w:t>108</w:t>
            </w:r>
            <w:r>
              <w:rPr>
                <w:rFonts w:hint="eastAsia" w:ascii="宋体" w:hAnsi="宋体" w:eastAsia="宋体" w:cs="仿宋"/>
                <w:kern w:val="0"/>
                <w:szCs w:val="21"/>
              </w:rPr>
              <w:t>学时）</w:t>
            </w:r>
          </w:p>
        </w:tc>
        <w:tc>
          <w:tcPr>
            <w:tcW w:w="2481" w:type="dxa"/>
            <w:vAlign w:val="center"/>
          </w:tcPr>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（1）经济法概述；</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（2）会计法律制度；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（3）支付结算法律制度；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（4）增值税、消费税法律制度；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（5）企业所得税、个人所得税法律制度；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（6）税收征收法律管理制度；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（7）劳动合同与社会保险法律制度</w:t>
            </w:r>
          </w:p>
        </w:tc>
        <w:tc>
          <w:tcPr>
            <w:tcW w:w="5082" w:type="dxa"/>
          </w:tcPr>
          <w:p>
            <w:pPr>
              <w:autoSpaceDE w:val="0"/>
              <w:autoSpaceDN w:val="0"/>
              <w:adjustRightInd w:val="0"/>
              <w:spacing w:line="0" w:lineRule="atLeast"/>
              <w:rPr>
                <w:rFonts w:ascii="宋体" w:hAnsi="宋体" w:eastAsia="宋体" w:cs="仿宋"/>
                <w:kern w:val="0"/>
                <w:szCs w:val="21"/>
                <w:lang w:val="zh-CN"/>
              </w:rPr>
            </w:pPr>
            <w:r>
              <w:rPr>
                <w:rFonts w:ascii="宋体" w:hAnsi="宋体" w:eastAsia="宋体" w:cs="仿宋"/>
                <w:kern w:val="0"/>
                <w:szCs w:val="21"/>
                <w:lang w:val="zh-CN"/>
              </w:rPr>
              <w:t>（</w:t>
            </w:r>
            <w:r>
              <w:rPr>
                <w:rFonts w:hint="eastAsia" w:ascii="宋体" w:hAnsi="宋体" w:eastAsia="宋体" w:cs="仿宋"/>
                <w:kern w:val="0"/>
                <w:szCs w:val="21"/>
                <w:lang w:val="zh-CN"/>
              </w:rPr>
              <w:t>1</w:t>
            </w:r>
            <w:r>
              <w:rPr>
                <w:rFonts w:ascii="宋体" w:hAnsi="宋体" w:eastAsia="宋体" w:cs="仿宋"/>
                <w:kern w:val="0"/>
                <w:szCs w:val="21"/>
                <w:lang w:val="zh-CN"/>
              </w:rPr>
              <w:t>）</w:t>
            </w:r>
            <w:r>
              <w:rPr>
                <w:rFonts w:hint="eastAsia" w:ascii="宋体" w:hAnsi="宋体" w:eastAsia="宋体" w:cs="仿宋"/>
                <w:kern w:val="0"/>
                <w:szCs w:val="21"/>
                <w:lang w:val="zh-CN"/>
              </w:rPr>
              <w:t>理解经济法的概念和特征、调整对象和分类；</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（2）掌握经济纠纷的解决途径和法律责任；</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（3）了解会计法律制度概述，理解会计核算和监督的内容、会计机构和会计人员的设置要求；</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（4）掌握会计职业道德和违反会计法律制度的法律责任；</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（5）了解支付结算的工具、原则、要求和方式；</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（6）了解银行结算账户、票据、银行卡、网上支付等相关内容，以及结算纪律与法律责任；</w:t>
            </w:r>
            <w:r>
              <w:rPr>
                <w:rFonts w:ascii="宋体" w:hAnsi="宋体" w:eastAsia="宋体" w:cs="仿宋"/>
                <w:kern w:val="0"/>
                <w:szCs w:val="21"/>
                <w:lang w:val="zh-CN"/>
              </w:rPr>
              <w:t xml:space="preserve"> </w:t>
            </w:r>
          </w:p>
          <w:p>
            <w:pPr>
              <w:autoSpaceDE w:val="0"/>
              <w:autoSpaceDN w:val="0"/>
              <w:adjustRightInd w:val="0"/>
              <w:spacing w:line="0" w:lineRule="atLeast"/>
              <w:rPr>
                <w:rFonts w:ascii="宋体" w:hAnsi="宋体" w:eastAsia="宋体" w:cs="仿宋"/>
                <w:kern w:val="0"/>
                <w:szCs w:val="21"/>
                <w:lang w:val="zh-CN"/>
              </w:rPr>
            </w:pPr>
            <w:r>
              <w:rPr>
                <w:rFonts w:ascii="宋体" w:hAnsi="宋体" w:eastAsia="宋体" w:cs="仿宋"/>
                <w:kern w:val="0"/>
                <w:szCs w:val="21"/>
                <w:lang w:val="zh-CN"/>
              </w:rPr>
              <w:t>（</w:t>
            </w:r>
            <w:r>
              <w:rPr>
                <w:rFonts w:hint="eastAsia" w:ascii="宋体" w:hAnsi="宋体" w:eastAsia="宋体" w:cs="仿宋"/>
                <w:kern w:val="0"/>
                <w:szCs w:val="21"/>
                <w:lang w:val="zh-CN"/>
              </w:rPr>
              <w:t>7）理解增值税和消费税的相关法律规定，并会正确计算；</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（8）理解企业所得税、个人所得税的相关法律规定，并会正确计算；</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9</w:t>
            </w:r>
            <w:r>
              <w:rPr>
                <w:rFonts w:hint="eastAsia" w:ascii="宋体" w:hAnsi="宋体" w:eastAsia="宋体" w:cs="仿宋"/>
                <w:kern w:val="0"/>
                <w:szCs w:val="21"/>
                <w:lang w:val="zh-CN"/>
              </w:rPr>
              <w:t>）了解我国税收管理体制，掌握税务登记、账簿凭证管理、纳税申报的有关规定，能按要求办理税务登记和进行纳税申报；</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（10）了解劳动合同、劳动关系和社会保险的相关构成；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（11）掌握劳动合同的主要内容、合同履行、变更、解除和终止的相关规定、劳务派遣和各种保险权利的计算</w:t>
            </w:r>
          </w:p>
        </w:tc>
      </w:tr>
      <w:bookmarkEnd w:id="3"/>
    </w:tbl>
    <w:p>
      <w:pPr>
        <w:spacing w:line="400" w:lineRule="exact"/>
        <w:ind w:firstLine="480" w:firstLineChars="200"/>
        <w:rPr>
          <w:rFonts w:ascii="宋体" w:hAnsi="宋体" w:eastAsia="宋体" w:cs="仿宋"/>
          <w:sz w:val="24"/>
        </w:rPr>
      </w:pPr>
      <w:bookmarkStart w:id="4" w:name="_Hlk63268663"/>
      <w:r>
        <w:rPr>
          <w:rFonts w:hint="eastAsia" w:ascii="宋体" w:hAnsi="宋体" w:eastAsia="宋体" w:cs="仿宋"/>
          <w:sz w:val="24"/>
        </w:rPr>
        <w:t>（2）专业核心课程和专业方向课程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各专业在做好行业企业调研、毕业生跟踪调研和在校生学情调研，以及分析产业发展趋势和行业企业人才需求，形成本专业调研报告的基础上，通过基于职业标准的职业分析（参照本方案中的通用学习内容分析表）和基于岗位规范的岗位分析（“职业能力分析表”），明确本专业面向的职业岗位（群）所需要的知识、能力、素质，确定本专业的专业核心课程和专业方向课程，并紧跟产业发展趋势和行业人才需求，对接职业技能等级证书（“X”证书），更新课程教学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课程设置和内容选择的总体要求：遵从体系架构、保持各科独立；力求规范严谨，强调科学合理；坚持育人为本、推进课程思政；注重书证融通、彰显职教特色；强化实践教学、促进知行合一。</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五、课程实施</w:t>
      </w:r>
    </w:p>
    <w:p>
      <w:pPr>
        <w:spacing w:line="400" w:lineRule="exact"/>
        <w:ind w:firstLine="480" w:firstLineChars="200"/>
        <w:rPr>
          <w:rFonts w:ascii="宋体" w:hAnsi="宋体" w:eastAsia="宋体" w:cs="仿宋"/>
          <w:sz w:val="24"/>
        </w:rPr>
      </w:pPr>
      <w:r>
        <w:rPr>
          <w:rFonts w:hint="eastAsia" w:ascii="宋体" w:hAnsi="宋体" w:eastAsia="宋体" w:cs="仿宋"/>
          <w:sz w:val="24"/>
        </w:rPr>
        <w:t>（一）本专业类各专业在本课程指导方案的基础上，依据专业调研与分析，结合“专业‘工作任务与职业能力’分析表”，编制省中等职业学校专业指导性人才培养方案（具体体例格式见表</w:t>
      </w:r>
      <w:r>
        <w:rPr>
          <w:rFonts w:ascii="宋体" w:hAnsi="宋体" w:eastAsia="宋体" w:cs="仿宋"/>
          <w:sz w:val="24"/>
        </w:rPr>
        <w:t>5</w:t>
      </w:r>
      <w:r>
        <w:rPr>
          <w:rFonts w:hint="eastAsia" w:ascii="宋体" w:hAnsi="宋体" w:eastAsia="宋体" w:cs="仿宋"/>
          <w:sz w:val="24"/>
        </w:rPr>
        <w:t>），学校根据实际情况制订科学、先进、操作性强的实施性人才培养方案。</w:t>
      </w:r>
    </w:p>
    <w:p>
      <w:pPr>
        <w:spacing w:line="400" w:lineRule="exact"/>
        <w:jc w:val="center"/>
        <w:rPr>
          <w:rFonts w:ascii="宋体" w:hAnsi="宋体" w:eastAsia="宋体" w:cs="仿宋"/>
          <w:b/>
          <w:bCs/>
          <w:sz w:val="24"/>
          <w:szCs w:val="24"/>
        </w:rPr>
      </w:pPr>
      <w:r>
        <w:rPr>
          <w:rFonts w:hint="eastAsia" w:ascii="宋体" w:hAnsi="宋体" w:eastAsia="宋体" w:cs="仿宋"/>
          <w:b/>
          <w:bCs/>
          <w:sz w:val="24"/>
          <w:szCs w:val="24"/>
        </w:rPr>
        <w:t>表5</w:t>
      </w:r>
      <w:r>
        <w:rPr>
          <w:rFonts w:ascii="宋体" w:hAnsi="宋体" w:eastAsia="宋体" w:cs="仿宋"/>
          <w:b/>
          <w:bCs/>
          <w:sz w:val="24"/>
          <w:szCs w:val="24"/>
        </w:rPr>
        <w:t xml:space="preserve">  </w:t>
      </w:r>
      <w:r>
        <w:rPr>
          <w:rFonts w:hint="eastAsia" w:ascii="宋体" w:hAnsi="宋体" w:eastAsia="宋体" w:cs="仿宋"/>
          <w:b/>
          <w:bCs/>
          <w:sz w:val="24"/>
          <w:szCs w:val="24"/>
        </w:rPr>
        <w:t>中等职业学校专业指导性人才培养方案体例格式</w:t>
      </w:r>
    </w:p>
    <w:tbl>
      <w:tblPr>
        <w:tblStyle w:val="23"/>
        <w:tblW w:w="8088"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一、专业与专门化方向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二、入学要求与基本学制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三、培养目标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四、职业面向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五、培养规格</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（一）综合素质</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六、课程设置及教学要求</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（一）课程结构</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（二）主要课程教学要求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1.公共基础课程教学要求</w:t>
            </w:r>
          </w:p>
          <w:p>
            <w:pPr>
              <w:spacing w:line="400" w:lineRule="exact"/>
              <w:ind w:firstLine="480" w:firstLineChars="200"/>
              <w:rPr>
                <w:rFonts w:ascii="宋体" w:hAnsi="宋体" w:eastAsia="宋体" w:cs="仿宋"/>
                <w:b/>
                <w:sz w:val="24"/>
              </w:rPr>
            </w:pPr>
            <w:r>
              <w:rPr>
                <w:rFonts w:hint="eastAsia" w:ascii="宋体" w:hAnsi="宋体" w:eastAsia="宋体" w:cs="仿宋"/>
                <w:sz w:val="24"/>
              </w:rPr>
              <w:t>2.主要专业（技能）课程教学要求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七、教学安排</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（一）教学时间安排</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八、实施保障</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（一）师资条件</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（二）教学设施</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九、质量管理</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（一）编制实施性人才培养方案</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（二）推进教育教学改革</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（三）严格毕业要求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十、编制说明</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（一）编制依据</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（二）开发单位及核心成员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0" w:firstLineChars="200"/>
              <w:rPr>
                <w:rFonts w:ascii="宋体" w:hAnsi="宋体" w:eastAsia="宋体" w:cs="仿宋"/>
                <w:sz w:val="24"/>
              </w:rPr>
            </w:pPr>
            <w:r>
              <w:rPr>
                <w:rFonts w:hint="eastAsia" w:ascii="宋体" w:hAnsi="宋体" w:eastAsia="宋体" w:cs="仿宋"/>
                <w:sz w:val="24"/>
              </w:rPr>
              <w:t>附件1：“工作任务与职业能力”分析表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tcBorders>
            <w:shd w:val="clear" w:color="auto" w:fill="auto"/>
          </w:tcPr>
          <w:p>
            <w:pPr>
              <w:spacing w:line="400" w:lineRule="exact"/>
              <w:ind w:firstLine="480" w:firstLineChars="200"/>
              <w:rPr>
                <w:rFonts w:ascii="宋体" w:hAnsi="宋体" w:eastAsia="宋体" w:cs="仿宋"/>
                <w:sz w:val="24"/>
              </w:rPr>
            </w:pPr>
            <w:r>
              <w:rPr>
                <w:rFonts w:hint="eastAsia" w:ascii="宋体" w:hAnsi="宋体" w:eastAsia="宋体" w:cs="仿宋"/>
                <w:sz w:val="24"/>
              </w:rPr>
              <w:t>附件2：专业实施性人才培养方案参考格式</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（二）本专业类各专业学制三年，总学时为3000～3300，分6学期完成，实施“2.5+0.5”学制安排。学生顶岗实习时间一般为6个月，各职业学校可根据专业实际，集中或分阶段安排。</w:t>
      </w:r>
    </w:p>
    <w:p>
      <w:pPr>
        <w:spacing w:line="400" w:lineRule="exact"/>
        <w:ind w:firstLine="480" w:firstLineChars="200"/>
        <w:rPr>
          <w:rFonts w:ascii="宋体" w:hAnsi="宋体" w:eastAsia="宋体" w:cs="仿宋"/>
          <w:sz w:val="24"/>
        </w:rPr>
      </w:pPr>
      <w:r>
        <w:rPr>
          <w:rFonts w:hint="eastAsia" w:ascii="宋体" w:hAnsi="宋体" w:eastAsia="宋体" w:cs="仿宋"/>
          <w:sz w:val="24"/>
        </w:rPr>
        <w:t>（三）公共基础课程（含军训）学时占比约为40%，专业（技能）课程（含专业认知与入学教育、毕业考核、毕业教育等）学时占比约为60%。课程设置中应设任意选修课程，其学时数占总学时的比例应不少于10%。</w:t>
      </w:r>
    </w:p>
    <w:p>
      <w:pPr>
        <w:spacing w:line="400" w:lineRule="exact"/>
        <w:ind w:firstLine="480" w:firstLineChars="200"/>
        <w:rPr>
          <w:rFonts w:ascii="宋体" w:hAnsi="宋体" w:eastAsia="宋体" w:cs="仿宋"/>
          <w:sz w:val="24"/>
        </w:rPr>
      </w:pPr>
      <w:r>
        <w:rPr>
          <w:rFonts w:hint="eastAsia" w:ascii="宋体" w:hAnsi="宋体" w:eastAsia="宋体" w:cs="仿宋"/>
          <w:sz w:val="24"/>
        </w:rPr>
        <w:t>（四）学分计算办法：公共基础课程每18学时计1学分，专业（技能）课程18学时计1学分；专业实践教学周，每周按30学时计算，1周计2学分；顶岗实习，每周按</w:t>
      </w:r>
      <w:r>
        <w:rPr>
          <w:rFonts w:ascii="宋体" w:hAnsi="宋体" w:eastAsia="宋体" w:cs="仿宋"/>
          <w:sz w:val="24"/>
        </w:rPr>
        <w:t>30</w:t>
      </w:r>
      <w:r>
        <w:rPr>
          <w:rFonts w:hint="eastAsia" w:ascii="宋体" w:hAnsi="宋体" w:eastAsia="宋体" w:cs="仿宋"/>
          <w:sz w:val="24"/>
        </w:rPr>
        <w:t>学时计算，每周计1.5学分。</w:t>
      </w:r>
    </w:p>
    <w:p>
      <w:pPr>
        <w:spacing w:line="400" w:lineRule="exact"/>
        <w:ind w:firstLine="480" w:firstLineChars="200"/>
        <w:rPr>
          <w:rFonts w:ascii="宋体" w:hAnsi="宋体" w:cs="仿宋"/>
          <w:color w:val="000000"/>
          <w:sz w:val="24"/>
        </w:rPr>
      </w:pPr>
      <w:r>
        <w:rPr>
          <w:rFonts w:hint="eastAsia" w:ascii="宋体" w:hAnsi="宋体" w:eastAsia="宋体" w:cs="仿宋"/>
          <w:sz w:val="24"/>
        </w:rPr>
        <w:t>（五）基础性实训条件，具体</w:t>
      </w:r>
      <w:r>
        <w:rPr>
          <w:rFonts w:hint="eastAsia" w:ascii="宋体" w:hAnsi="宋体" w:eastAsia="宋体" w:cs="仿宋"/>
          <w:sz w:val="24"/>
          <w:szCs w:val="20"/>
        </w:rPr>
        <w:t>见表</w:t>
      </w:r>
      <w:r>
        <w:rPr>
          <w:rFonts w:ascii="宋体" w:hAnsi="宋体" w:eastAsia="宋体" w:cs="仿宋"/>
          <w:sz w:val="24"/>
          <w:szCs w:val="20"/>
        </w:rPr>
        <w:t>6</w:t>
      </w:r>
      <w:r>
        <w:rPr>
          <w:rFonts w:hint="eastAsia" w:ascii="宋体" w:hAnsi="宋体" w:eastAsia="宋体" w:cs="仿宋"/>
          <w:sz w:val="24"/>
          <w:szCs w:val="20"/>
        </w:rPr>
        <w:t>。</w:t>
      </w:r>
    </w:p>
    <w:p>
      <w:pPr>
        <w:spacing w:line="360" w:lineRule="auto"/>
        <w:ind w:firstLine="482" w:firstLineChars="200"/>
        <w:jc w:val="center"/>
        <w:rPr>
          <w:rFonts w:ascii="宋体" w:hAnsi="宋体" w:cs="仿宋"/>
          <w:b/>
          <w:bCs/>
          <w:sz w:val="24"/>
          <w:szCs w:val="24"/>
        </w:rPr>
      </w:pPr>
      <w:r>
        <w:rPr>
          <w:rFonts w:hint="eastAsia" w:ascii="宋体" w:hAnsi="宋体" w:cs="仿宋"/>
          <w:b/>
          <w:bCs/>
          <w:sz w:val="24"/>
          <w:szCs w:val="24"/>
        </w:rPr>
        <w:t>表6</w:t>
      </w:r>
      <w:r>
        <w:rPr>
          <w:rFonts w:ascii="宋体" w:hAnsi="宋体" w:cs="仿宋"/>
          <w:b/>
          <w:bCs/>
          <w:sz w:val="24"/>
          <w:szCs w:val="24"/>
        </w:rPr>
        <w:t xml:space="preserve"> </w:t>
      </w:r>
      <w:r>
        <w:rPr>
          <w:rFonts w:hint="eastAsia" w:ascii="宋体" w:hAnsi="宋体" w:cs="仿宋"/>
          <w:b/>
          <w:bCs/>
          <w:sz w:val="24"/>
          <w:szCs w:val="24"/>
        </w:rPr>
        <w:t>会计专业类基础性实训条件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3047"/>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Align w:val="center"/>
          </w:tcPr>
          <w:p>
            <w:pPr>
              <w:adjustRightInd w:val="0"/>
              <w:snapToGrid w:val="0"/>
              <w:spacing w:line="0" w:lineRule="atLeast"/>
              <w:jc w:val="center"/>
              <w:rPr>
                <w:rFonts w:ascii="宋体" w:hAnsi="宋体" w:eastAsia="宋体" w:cs="仿宋"/>
                <w:b/>
                <w:szCs w:val="21"/>
              </w:rPr>
            </w:pPr>
            <w:r>
              <w:rPr>
                <w:rFonts w:hint="eastAsia" w:ascii="宋体" w:hAnsi="宋体" w:cs="仿宋"/>
                <w:b/>
                <w:bCs/>
                <w:szCs w:val="21"/>
                <w:lang w:val="zh-CN"/>
              </w:rPr>
              <w:t>实训室名称</w:t>
            </w:r>
          </w:p>
        </w:tc>
        <w:tc>
          <w:tcPr>
            <w:tcW w:w="3047"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主要设备名称</w:t>
            </w:r>
          </w:p>
        </w:tc>
        <w:tc>
          <w:tcPr>
            <w:tcW w:w="1620"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数量（台</w:t>
            </w:r>
            <w:r>
              <w:rPr>
                <w:rFonts w:ascii="宋体" w:hAnsi="宋体" w:eastAsia="宋体" w:cs="仿宋"/>
                <w:b/>
                <w:szCs w:val="21"/>
              </w:rPr>
              <w:t>/</w:t>
            </w:r>
            <w:r>
              <w:rPr>
                <w:rFonts w:hint="eastAsia" w:ascii="宋体" w:hAnsi="宋体" w:eastAsia="宋体" w:cs="仿宋"/>
                <w:b/>
                <w:szCs w:val="21"/>
              </w:rPr>
              <w:t>套）</w:t>
            </w:r>
          </w:p>
        </w:tc>
        <w:tc>
          <w:tcPr>
            <w:tcW w:w="2474"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会计基本技能实训室</w:t>
            </w:r>
          </w:p>
        </w:tc>
        <w:tc>
          <w:tcPr>
            <w:tcW w:w="3047" w:type="dxa"/>
            <w:vAlign w:val="center"/>
          </w:tcPr>
          <w:p>
            <w:pPr>
              <w:spacing w:line="0" w:lineRule="atLeast"/>
              <w:ind w:firstLine="105" w:firstLineChars="50"/>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szCs w:val="21"/>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ind w:firstLine="105" w:firstLineChars="50"/>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点钞机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5</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捆扎机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算盘</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快速录入设备（小键盘）</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录入技能训练平台</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会计基础实训室（会计实务实训室）</w:t>
            </w: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会计基础操作教学软件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会计实务操作教学软件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会计信息化实训室</w:t>
            </w: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会计信息化操作教学软件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会计实务综合实训室（1+X职业技能等级证书实训）</w:t>
            </w: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1" w:type="dxa"/>
            <w:vMerge w:val="continue"/>
            <w:vAlign w:val="center"/>
          </w:tcPr>
          <w:p>
            <w:pPr>
              <w:spacing w:line="0" w:lineRule="atLeast"/>
              <w:rPr>
                <w:rFonts w:ascii="宋体" w:hAnsi="宋体" w:eastAsia="宋体" w:cs="仿宋"/>
                <w:szCs w:val="21"/>
              </w:rPr>
            </w:pPr>
          </w:p>
        </w:tc>
        <w:tc>
          <w:tcPr>
            <w:tcW w:w="3047" w:type="dxa"/>
            <w:vAlign w:val="center"/>
          </w:tcPr>
          <w:p>
            <w:pPr>
              <w:spacing w:line="0" w:lineRule="atLeast"/>
              <w:rPr>
                <w:rFonts w:ascii="宋体" w:hAnsi="宋体" w:eastAsia="宋体" w:cs="仿宋"/>
                <w:szCs w:val="21"/>
              </w:rPr>
            </w:pPr>
            <w:r>
              <w:rPr>
                <w:rFonts w:hint="eastAsia" w:ascii="宋体" w:hAnsi="宋体" w:eastAsia="宋体" w:cs="仿宋"/>
                <w:szCs w:val="21"/>
              </w:rPr>
              <w:t>会计实务综合操作教学软件</w:t>
            </w:r>
          </w:p>
          <w:p>
            <w:pPr>
              <w:spacing w:line="0" w:lineRule="atLeast"/>
              <w:rPr>
                <w:rFonts w:ascii="宋体" w:hAnsi="宋体" w:eastAsia="宋体" w:cs="仿宋"/>
                <w:szCs w:val="21"/>
              </w:rPr>
            </w:pPr>
            <w:r>
              <w:rPr>
                <w:rFonts w:hint="eastAsia" w:ascii="宋体" w:hAnsi="宋体" w:eastAsia="宋体" w:cs="仿宋"/>
                <w:szCs w:val="21"/>
              </w:rPr>
              <w:t>（1+X职业技能等级考试训练平台）</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rPr>
              <w:t>参照行业标准</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（六）教学评价及毕业要求：由各专业根据国家和省的相关要求，结合本专业特点和教学实际统筹确定，力求具体明确、可操作强。</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六、编制说明</w:t>
      </w:r>
    </w:p>
    <w:bookmarkEnd w:id="4"/>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（一）编制依据</w:t>
      </w:r>
    </w:p>
    <w:p>
      <w:pPr>
        <w:spacing w:line="400" w:lineRule="exact"/>
        <w:ind w:firstLine="480" w:firstLineChars="200"/>
        <w:rPr>
          <w:rFonts w:ascii="宋体" w:hAnsi="宋体" w:eastAsia="宋体" w:cs="仿宋"/>
          <w:sz w:val="24"/>
        </w:rPr>
      </w:pPr>
      <w:r>
        <w:rPr>
          <w:rFonts w:hint="eastAsia" w:ascii="宋体" w:hAnsi="宋体" w:eastAsia="宋体" w:cs="仿宋"/>
          <w:sz w:val="24"/>
        </w:rPr>
        <w:t>本方案依据《教育部关于职业院校专业人才培养方案制订与实施工作的指导意见》（教职成〔2019〕13号）、教育部《中等职业学校专业目录》《中等职业学校公共基础课程方案》（教职成厅〔2019〕6号），参考国家标准化管理委员会《国民经济行业分类》（2019修改版）、人力资源和社会保障部《中华人民共和国职业分类大典》（2015版）、</w:t>
      </w:r>
      <w:r>
        <w:rPr>
          <w:rFonts w:ascii="宋体" w:hAnsi="宋体" w:eastAsia="宋体" w:cs="仿宋"/>
          <w:sz w:val="24"/>
        </w:rPr>
        <w:t>《江苏统计年鉴—2020》（http://tj.jiangsu.gov.cn/2020/indexc.htm）</w:t>
      </w:r>
      <w:r>
        <w:rPr>
          <w:rFonts w:hint="eastAsia" w:ascii="宋体" w:hAnsi="宋体" w:eastAsia="宋体" w:cs="仿宋"/>
          <w:sz w:val="24"/>
        </w:rPr>
        <w:t>和国家相关职业标准、职业技能等级标准等编制。</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（二）编写单位及人员</w:t>
      </w:r>
    </w:p>
    <w:p>
      <w:pPr>
        <w:spacing w:line="400" w:lineRule="exact"/>
        <w:ind w:firstLine="480" w:firstLineChars="200"/>
        <w:rPr>
          <w:rFonts w:ascii="宋体" w:hAnsi="宋体" w:eastAsia="宋体" w:cs="仿宋"/>
          <w:sz w:val="24"/>
        </w:rPr>
      </w:pPr>
      <w:r>
        <w:rPr>
          <w:rFonts w:hint="eastAsia" w:ascii="宋体" w:hAnsi="宋体" w:eastAsia="宋体" w:cs="仿宋"/>
          <w:sz w:val="24"/>
        </w:rPr>
        <w:t>牵头单位及人员：常州旅游商贸高等职业技术学校，刘振华、吴菊香、商燕劼。</w:t>
      </w:r>
    </w:p>
    <w:p>
      <w:pPr>
        <w:spacing w:line="400" w:lineRule="exact"/>
        <w:ind w:firstLine="480" w:firstLineChars="200"/>
        <w:rPr>
          <w:rFonts w:ascii="宋体" w:hAnsi="宋体" w:eastAsia="宋体" w:cs="仿宋"/>
          <w:sz w:val="24"/>
        </w:rPr>
      </w:pPr>
      <w:r>
        <w:rPr>
          <w:rFonts w:hint="eastAsia" w:ascii="宋体" w:hAnsi="宋体" w:eastAsia="宋体" w:cs="仿宋"/>
          <w:sz w:val="24"/>
        </w:rPr>
        <w:t>参与单位及人员：江苏商贸职业技术学院，冯志明、贲志红；南京财经高等职业技术学校，周会林、徐晓云；徐州财经高等职业技术学校，李辉；江苏省通州中等专业学校，张劲松；江苏省吴中中等专业学校，李建红；常州市高级职业技术学校，刘杏妹、王婧；江苏经贸职业技术学院，刘正兵、刘登辉、戴桂荣；常州工业职业技术学院，宋郗熹；淮安生物工程高等职业学校，马力；扬州高等职业技术学校，张雪梅；华信会计服务有限公司，谈海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802681"/>
    </w:sdtPr>
    <w:sdtContent>
      <w:p>
        <w:pPr>
          <w:pStyle w:val="13"/>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07"/>
    <w:rsid w:val="00001DFC"/>
    <w:rsid w:val="00012134"/>
    <w:rsid w:val="00012CCD"/>
    <w:rsid w:val="00015A41"/>
    <w:rsid w:val="00015DBC"/>
    <w:rsid w:val="00016B69"/>
    <w:rsid w:val="000205CB"/>
    <w:rsid w:val="000210A6"/>
    <w:rsid w:val="00022C32"/>
    <w:rsid w:val="00025F80"/>
    <w:rsid w:val="00026AE6"/>
    <w:rsid w:val="00030110"/>
    <w:rsid w:val="00042B7F"/>
    <w:rsid w:val="00053596"/>
    <w:rsid w:val="0005439C"/>
    <w:rsid w:val="0006428A"/>
    <w:rsid w:val="000662CF"/>
    <w:rsid w:val="00083347"/>
    <w:rsid w:val="000842DA"/>
    <w:rsid w:val="00084B66"/>
    <w:rsid w:val="00084DB0"/>
    <w:rsid w:val="00085BDC"/>
    <w:rsid w:val="00093C5A"/>
    <w:rsid w:val="0009697B"/>
    <w:rsid w:val="000A0EE8"/>
    <w:rsid w:val="000A2529"/>
    <w:rsid w:val="000A3B15"/>
    <w:rsid w:val="000A3F7F"/>
    <w:rsid w:val="000B04FE"/>
    <w:rsid w:val="000B2F81"/>
    <w:rsid w:val="000C6534"/>
    <w:rsid w:val="000C6859"/>
    <w:rsid w:val="000D50FE"/>
    <w:rsid w:val="000E0093"/>
    <w:rsid w:val="000E2F72"/>
    <w:rsid w:val="000F3776"/>
    <w:rsid w:val="00101EFA"/>
    <w:rsid w:val="00106BCE"/>
    <w:rsid w:val="00106C25"/>
    <w:rsid w:val="0011583A"/>
    <w:rsid w:val="00123564"/>
    <w:rsid w:val="00125010"/>
    <w:rsid w:val="00126C3F"/>
    <w:rsid w:val="00131E27"/>
    <w:rsid w:val="0014431B"/>
    <w:rsid w:val="00144CDF"/>
    <w:rsid w:val="00145F3B"/>
    <w:rsid w:val="0015094F"/>
    <w:rsid w:val="00153D52"/>
    <w:rsid w:val="001555E6"/>
    <w:rsid w:val="00156CB0"/>
    <w:rsid w:val="001612F7"/>
    <w:rsid w:val="001636E2"/>
    <w:rsid w:val="00166E1F"/>
    <w:rsid w:val="00167749"/>
    <w:rsid w:val="00167BF8"/>
    <w:rsid w:val="00170A5A"/>
    <w:rsid w:val="00171AC8"/>
    <w:rsid w:val="00177B8B"/>
    <w:rsid w:val="001844CC"/>
    <w:rsid w:val="001859AA"/>
    <w:rsid w:val="001907CF"/>
    <w:rsid w:val="001971D3"/>
    <w:rsid w:val="001A1091"/>
    <w:rsid w:val="001A128C"/>
    <w:rsid w:val="001A51FE"/>
    <w:rsid w:val="001C549C"/>
    <w:rsid w:val="001E1005"/>
    <w:rsid w:val="001E3B51"/>
    <w:rsid w:val="001F6032"/>
    <w:rsid w:val="001F6C91"/>
    <w:rsid w:val="00203296"/>
    <w:rsid w:val="00203400"/>
    <w:rsid w:val="002039F9"/>
    <w:rsid w:val="00203C7A"/>
    <w:rsid w:val="00206D00"/>
    <w:rsid w:val="00211BFD"/>
    <w:rsid w:val="00212067"/>
    <w:rsid w:val="00220A5C"/>
    <w:rsid w:val="002214B4"/>
    <w:rsid w:val="00221B7F"/>
    <w:rsid w:val="0022326B"/>
    <w:rsid w:val="002245B1"/>
    <w:rsid w:val="00224708"/>
    <w:rsid w:val="0022543F"/>
    <w:rsid w:val="00226ADA"/>
    <w:rsid w:val="00234139"/>
    <w:rsid w:val="00235BC3"/>
    <w:rsid w:val="00235BF5"/>
    <w:rsid w:val="002515E6"/>
    <w:rsid w:val="00254A6A"/>
    <w:rsid w:val="0025654B"/>
    <w:rsid w:val="002667A3"/>
    <w:rsid w:val="002720C0"/>
    <w:rsid w:val="002744A7"/>
    <w:rsid w:val="00275246"/>
    <w:rsid w:val="00281030"/>
    <w:rsid w:val="00285200"/>
    <w:rsid w:val="00286C7D"/>
    <w:rsid w:val="00286D25"/>
    <w:rsid w:val="00287F81"/>
    <w:rsid w:val="002939CB"/>
    <w:rsid w:val="00293EE9"/>
    <w:rsid w:val="00295596"/>
    <w:rsid w:val="00297E65"/>
    <w:rsid w:val="002A3636"/>
    <w:rsid w:val="002A4B21"/>
    <w:rsid w:val="002B1968"/>
    <w:rsid w:val="002B4AC1"/>
    <w:rsid w:val="002B703B"/>
    <w:rsid w:val="002B7884"/>
    <w:rsid w:val="002D0020"/>
    <w:rsid w:val="002D1FF9"/>
    <w:rsid w:val="002D6B06"/>
    <w:rsid w:val="002E7F42"/>
    <w:rsid w:val="002F00BC"/>
    <w:rsid w:val="002F0884"/>
    <w:rsid w:val="002F301A"/>
    <w:rsid w:val="002F3A76"/>
    <w:rsid w:val="002F613E"/>
    <w:rsid w:val="00305174"/>
    <w:rsid w:val="003054F8"/>
    <w:rsid w:val="00312345"/>
    <w:rsid w:val="00317607"/>
    <w:rsid w:val="003202FD"/>
    <w:rsid w:val="003247A7"/>
    <w:rsid w:val="003364AF"/>
    <w:rsid w:val="0035118B"/>
    <w:rsid w:val="0035239E"/>
    <w:rsid w:val="00352BDA"/>
    <w:rsid w:val="00352D79"/>
    <w:rsid w:val="00360852"/>
    <w:rsid w:val="003617A8"/>
    <w:rsid w:val="00363433"/>
    <w:rsid w:val="00363567"/>
    <w:rsid w:val="003645EE"/>
    <w:rsid w:val="00364E07"/>
    <w:rsid w:val="003667B4"/>
    <w:rsid w:val="00367888"/>
    <w:rsid w:val="003708E9"/>
    <w:rsid w:val="00371D7B"/>
    <w:rsid w:val="003744E5"/>
    <w:rsid w:val="00375456"/>
    <w:rsid w:val="0038116E"/>
    <w:rsid w:val="00385750"/>
    <w:rsid w:val="003949E2"/>
    <w:rsid w:val="00394E22"/>
    <w:rsid w:val="003A0B45"/>
    <w:rsid w:val="003A18CD"/>
    <w:rsid w:val="003B00BC"/>
    <w:rsid w:val="003B2131"/>
    <w:rsid w:val="003B5B0B"/>
    <w:rsid w:val="003B62C1"/>
    <w:rsid w:val="003B725B"/>
    <w:rsid w:val="003B7EA2"/>
    <w:rsid w:val="003C0721"/>
    <w:rsid w:val="003C1A59"/>
    <w:rsid w:val="003C4E62"/>
    <w:rsid w:val="003C5B4B"/>
    <w:rsid w:val="003C77A7"/>
    <w:rsid w:val="003D74D6"/>
    <w:rsid w:val="003D77BC"/>
    <w:rsid w:val="003E3A1F"/>
    <w:rsid w:val="003E3E3B"/>
    <w:rsid w:val="003E7262"/>
    <w:rsid w:val="003F7734"/>
    <w:rsid w:val="00402C38"/>
    <w:rsid w:val="00403A06"/>
    <w:rsid w:val="00412506"/>
    <w:rsid w:val="0042034B"/>
    <w:rsid w:val="00420E1B"/>
    <w:rsid w:val="00421149"/>
    <w:rsid w:val="00425BEF"/>
    <w:rsid w:val="0043000F"/>
    <w:rsid w:val="00431E80"/>
    <w:rsid w:val="004324D3"/>
    <w:rsid w:val="00432ECA"/>
    <w:rsid w:val="00436E2A"/>
    <w:rsid w:val="004462A7"/>
    <w:rsid w:val="00446E7E"/>
    <w:rsid w:val="00450FB1"/>
    <w:rsid w:val="0045248A"/>
    <w:rsid w:val="004525F6"/>
    <w:rsid w:val="00455801"/>
    <w:rsid w:val="00455E10"/>
    <w:rsid w:val="00456786"/>
    <w:rsid w:val="00456EF4"/>
    <w:rsid w:val="00460064"/>
    <w:rsid w:val="004600DB"/>
    <w:rsid w:val="004677F7"/>
    <w:rsid w:val="004717C0"/>
    <w:rsid w:val="00477C61"/>
    <w:rsid w:val="00482CE6"/>
    <w:rsid w:val="0049632A"/>
    <w:rsid w:val="004A695F"/>
    <w:rsid w:val="004B25FA"/>
    <w:rsid w:val="004B2694"/>
    <w:rsid w:val="004B4A97"/>
    <w:rsid w:val="004B4F3F"/>
    <w:rsid w:val="004C3827"/>
    <w:rsid w:val="004C3E41"/>
    <w:rsid w:val="004D6346"/>
    <w:rsid w:val="004E4176"/>
    <w:rsid w:val="004E44F5"/>
    <w:rsid w:val="004E4899"/>
    <w:rsid w:val="004E4B8B"/>
    <w:rsid w:val="004E4F29"/>
    <w:rsid w:val="004F371B"/>
    <w:rsid w:val="004F4275"/>
    <w:rsid w:val="004F4A9D"/>
    <w:rsid w:val="004F4B87"/>
    <w:rsid w:val="005049A2"/>
    <w:rsid w:val="00507C1D"/>
    <w:rsid w:val="00515C05"/>
    <w:rsid w:val="005162AC"/>
    <w:rsid w:val="00517CA5"/>
    <w:rsid w:val="00535823"/>
    <w:rsid w:val="00535B37"/>
    <w:rsid w:val="005370F2"/>
    <w:rsid w:val="00540AF7"/>
    <w:rsid w:val="00543558"/>
    <w:rsid w:val="00546898"/>
    <w:rsid w:val="0055529C"/>
    <w:rsid w:val="0055648D"/>
    <w:rsid w:val="005726F0"/>
    <w:rsid w:val="00572B54"/>
    <w:rsid w:val="00574767"/>
    <w:rsid w:val="005769D0"/>
    <w:rsid w:val="00582088"/>
    <w:rsid w:val="0058622B"/>
    <w:rsid w:val="00590CED"/>
    <w:rsid w:val="00596EEC"/>
    <w:rsid w:val="005A63D0"/>
    <w:rsid w:val="005A7F6F"/>
    <w:rsid w:val="005B202A"/>
    <w:rsid w:val="005B2AC9"/>
    <w:rsid w:val="005B3360"/>
    <w:rsid w:val="005B65A5"/>
    <w:rsid w:val="005C0C52"/>
    <w:rsid w:val="005C4DD8"/>
    <w:rsid w:val="005D0812"/>
    <w:rsid w:val="005D28B9"/>
    <w:rsid w:val="005D2E2F"/>
    <w:rsid w:val="005D41FE"/>
    <w:rsid w:val="005D7077"/>
    <w:rsid w:val="005E3EEC"/>
    <w:rsid w:val="005E62E1"/>
    <w:rsid w:val="005E6E69"/>
    <w:rsid w:val="005F47F3"/>
    <w:rsid w:val="005F537B"/>
    <w:rsid w:val="00610897"/>
    <w:rsid w:val="00612D74"/>
    <w:rsid w:val="00614E7F"/>
    <w:rsid w:val="00617B3F"/>
    <w:rsid w:val="00630ACD"/>
    <w:rsid w:val="0063271C"/>
    <w:rsid w:val="0063773F"/>
    <w:rsid w:val="006424B9"/>
    <w:rsid w:val="006439EE"/>
    <w:rsid w:val="00644262"/>
    <w:rsid w:val="00651C37"/>
    <w:rsid w:val="00652AE2"/>
    <w:rsid w:val="00657E07"/>
    <w:rsid w:val="006617EF"/>
    <w:rsid w:val="0067193D"/>
    <w:rsid w:val="00671BD8"/>
    <w:rsid w:val="00672D48"/>
    <w:rsid w:val="006817F1"/>
    <w:rsid w:val="00682666"/>
    <w:rsid w:val="00685F22"/>
    <w:rsid w:val="0069529D"/>
    <w:rsid w:val="00695611"/>
    <w:rsid w:val="006A5CE6"/>
    <w:rsid w:val="006A5EC1"/>
    <w:rsid w:val="006A7616"/>
    <w:rsid w:val="006A7F6E"/>
    <w:rsid w:val="006B0068"/>
    <w:rsid w:val="006B0084"/>
    <w:rsid w:val="006B3F35"/>
    <w:rsid w:val="006B4CEB"/>
    <w:rsid w:val="006B711D"/>
    <w:rsid w:val="006C14E1"/>
    <w:rsid w:val="006C1F56"/>
    <w:rsid w:val="006C4E58"/>
    <w:rsid w:val="006C611D"/>
    <w:rsid w:val="006C6B10"/>
    <w:rsid w:val="006D2ED3"/>
    <w:rsid w:val="006D7C30"/>
    <w:rsid w:val="006E03CB"/>
    <w:rsid w:val="006E1C2C"/>
    <w:rsid w:val="006E3713"/>
    <w:rsid w:val="006E37CF"/>
    <w:rsid w:val="006E4175"/>
    <w:rsid w:val="006E4256"/>
    <w:rsid w:val="006E425B"/>
    <w:rsid w:val="006F0A5B"/>
    <w:rsid w:val="007003F0"/>
    <w:rsid w:val="00707001"/>
    <w:rsid w:val="00707CD3"/>
    <w:rsid w:val="00716FDD"/>
    <w:rsid w:val="00721016"/>
    <w:rsid w:val="007234AB"/>
    <w:rsid w:val="00727154"/>
    <w:rsid w:val="00733D15"/>
    <w:rsid w:val="007353FB"/>
    <w:rsid w:val="00737C56"/>
    <w:rsid w:val="00740E94"/>
    <w:rsid w:val="00742DE8"/>
    <w:rsid w:val="00743457"/>
    <w:rsid w:val="007532B5"/>
    <w:rsid w:val="007640B1"/>
    <w:rsid w:val="00764BB9"/>
    <w:rsid w:val="00765294"/>
    <w:rsid w:val="00766E8F"/>
    <w:rsid w:val="007723A8"/>
    <w:rsid w:val="00774236"/>
    <w:rsid w:val="00775745"/>
    <w:rsid w:val="00777714"/>
    <w:rsid w:val="00777B63"/>
    <w:rsid w:val="00780006"/>
    <w:rsid w:val="00784A37"/>
    <w:rsid w:val="007854CE"/>
    <w:rsid w:val="00791306"/>
    <w:rsid w:val="007921BA"/>
    <w:rsid w:val="0079286A"/>
    <w:rsid w:val="00793797"/>
    <w:rsid w:val="007A150C"/>
    <w:rsid w:val="007A274F"/>
    <w:rsid w:val="007A4180"/>
    <w:rsid w:val="007B128E"/>
    <w:rsid w:val="007B4C79"/>
    <w:rsid w:val="007B74BA"/>
    <w:rsid w:val="007C0BFD"/>
    <w:rsid w:val="007C43B4"/>
    <w:rsid w:val="007D57AE"/>
    <w:rsid w:val="007D5F56"/>
    <w:rsid w:val="007E09F0"/>
    <w:rsid w:val="007E0E9B"/>
    <w:rsid w:val="007E1928"/>
    <w:rsid w:val="007F2308"/>
    <w:rsid w:val="007F4368"/>
    <w:rsid w:val="007F686C"/>
    <w:rsid w:val="00800D51"/>
    <w:rsid w:val="008036F6"/>
    <w:rsid w:val="008041F2"/>
    <w:rsid w:val="008051DC"/>
    <w:rsid w:val="00811724"/>
    <w:rsid w:val="00820374"/>
    <w:rsid w:val="00822825"/>
    <w:rsid w:val="00824D6A"/>
    <w:rsid w:val="008324C3"/>
    <w:rsid w:val="00836F35"/>
    <w:rsid w:val="0084376C"/>
    <w:rsid w:val="00844A73"/>
    <w:rsid w:val="00844B11"/>
    <w:rsid w:val="00845F0F"/>
    <w:rsid w:val="00845F58"/>
    <w:rsid w:val="0085096A"/>
    <w:rsid w:val="00851AE8"/>
    <w:rsid w:val="008676B5"/>
    <w:rsid w:val="00873F99"/>
    <w:rsid w:val="00875CCA"/>
    <w:rsid w:val="00884614"/>
    <w:rsid w:val="00884AF8"/>
    <w:rsid w:val="00884E45"/>
    <w:rsid w:val="00886387"/>
    <w:rsid w:val="00887B2C"/>
    <w:rsid w:val="00890F18"/>
    <w:rsid w:val="00897463"/>
    <w:rsid w:val="008A0AB5"/>
    <w:rsid w:val="008A0B24"/>
    <w:rsid w:val="008A22F5"/>
    <w:rsid w:val="008A5684"/>
    <w:rsid w:val="008A739F"/>
    <w:rsid w:val="008B78D0"/>
    <w:rsid w:val="008B7F2A"/>
    <w:rsid w:val="008C29D0"/>
    <w:rsid w:val="008D1D43"/>
    <w:rsid w:val="008D46EF"/>
    <w:rsid w:val="008D6CAF"/>
    <w:rsid w:val="008E0CAA"/>
    <w:rsid w:val="008E47CE"/>
    <w:rsid w:val="008E5B39"/>
    <w:rsid w:val="008F1BF7"/>
    <w:rsid w:val="008F5619"/>
    <w:rsid w:val="00900F17"/>
    <w:rsid w:val="0090502F"/>
    <w:rsid w:val="00913D17"/>
    <w:rsid w:val="00914442"/>
    <w:rsid w:val="00916FCD"/>
    <w:rsid w:val="009172CA"/>
    <w:rsid w:val="00920331"/>
    <w:rsid w:val="0093035D"/>
    <w:rsid w:val="009405BA"/>
    <w:rsid w:val="009409A0"/>
    <w:rsid w:val="009559DD"/>
    <w:rsid w:val="009560FB"/>
    <w:rsid w:val="00956C2D"/>
    <w:rsid w:val="00966F2E"/>
    <w:rsid w:val="00967866"/>
    <w:rsid w:val="0097093F"/>
    <w:rsid w:val="00971607"/>
    <w:rsid w:val="009720DB"/>
    <w:rsid w:val="00974988"/>
    <w:rsid w:val="009749B6"/>
    <w:rsid w:val="0098390D"/>
    <w:rsid w:val="00991629"/>
    <w:rsid w:val="00997BFA"/>
    <w:rsid w:val="009B1343"/>
    <w:rsid w:val="009B26CF"/>
    <w:rsid w:val="009B6D79"/>
    <w:rsid w:val="009C086C"/>
    <w:rsid w:val="009C4771"/>
    <w:rsid w:val="009C5411"/>
    <w:rsid w:val="009C6C93"/>
    <w:rsid w:val="009C7349"/>
    <w:rsid w:val="009D364A"/>
    <w:rsid w:val="009E587D"/>
    <w:rsid w:val="009E78EA"/>
    <w:rsid w:val="009F1369"/>
    <w:rsid w:val="00A01B1B"/>
    <w:rsid w:val="00A04FD6"/>
    <w:rsid w:val="00A068B6"/>
    <w:rsid w:val="00A10895"/>
    <w:rsid w:val="00A109C0"/>
    <w:rsid w:val="00A122A8"/>
    <w:rsid w:val="00A16480"/>
    <w:rsid w:val="00A234B2"/>
    <w:rsid w:val="00A26EDE"/>
    <w:rsid w:val="00A30BF9"/>
    <w:rsid w:val="00A32A63"/>
    <w:rsid w:val="00A40652"/>
    <w:rsid w:val="00A435E8"/>
    <w:rsid w:val="00A43606"/>
    <w:rsid w:val="00A60D7F"/>
    <w:rsid w:val="00A64E85"/>
    <w:rsid w:val="00A671CD"/>
    <w:rsid w:val="00A7163F"/>
    <w:rsid w:val="00A71890"/>
    <w:rsid w:val="00A71DE7"/>
    <w:rsid w:val="00A72CDE"/>
    <w:rsid w:val="00A75F2F"/>
    <w:rsid w:val="00A76B52"/>
    <w:rsid w:val="00A77E08"/>
    <w:rsid w:val="00A802EB"/>
    <w:rsid w:val="00A8049F"/>
    <w:rsid w:val="00A818C3"/>
    <w:rsid w:val="00A86D4D"/>
    <w:rsid w:val="00A92B0C"/>
    <w:rsid w:val="00AA54B8"/>
    <w:rsid w:val="00AB344F"/>
    <w:rsid w:val="00AB4338"/>
    <w:rsid w:val="00AB7576"/>
    <w:rsid w:val="00AC1234"/>
    <w:rsid w:val="00AC234A"/>
    <w:rsid w:val="00AC4B7D"/>
    <w:rsid w:val="00AC5B02"/>
    <w:rsid w:val="00AD2CE5"/>
    <w:rsid w:val="00AD7CDA"/>
    <w:rsid w:val="00AE0D25"/>
    <w:rsid w:val="00AE0EB4"/>
    <w:rsid w:val="00AE2CD7"/>
    <w:rsid w:val="00AE5A59"/>
    <w:rsid w:val="00AE6C69"/>
    <w:rsid w:val="00AE71AA"/>
    <w:rsid w:val="00AF0A3A"/>
    <w:rsid w:val="00AF0C7C"/>
    <w:rsid w:val="00AF76B2"/>
    <w:rsid w:val="00AF7FEC"/>
    <w:rsid w:val="00B00387"/>
    <w:rsid w:val="00B0242A"/>
    <w:rsid w:val="00B02A04"/>
    <w:rsid w:val="00B068FD"/>
    <w:rsid w:val="00B1045B"/>
    <w:rsid w:val="00B10978"/>
    <w:rsid w:val="00B10A47"/>
    <w:rsid w:val="00B15501"/>
    <w:rsid w:val="00B16943"/>
    <w:rsid w:val="00B26815"/>
    <w:rsid w:val="00B27CB2"/>
    <w:rsid w:val="00B30387"/>
    <w:rsid w:val="00B31947"/>
    <w:rsid w:val="00B3261E"/>
    <w:rsid w:val="00B32D54"/>
    <w:rsid w:val="00B33BD6"/>
    <w:rsid w:val="00B3443A"/>
    <w:rsid w:val="00B36F47"/>
    <w:rsid w:val="00B37995"/>
    <w:rsid w:val="00B41203"/>
    <w:rsid w:val="00B4334B"/>
    <w:rsid w:val="00B43839"/>
    <w:rsid w:val="00B60C4A"/>
    <w:rsid w:val="00B6395E"/>
    <w:rsid w:val="00B65A8B"/>
    <w:rsid w:val="00B65AFB"/>
    <w:rsid w:val="00B77062"/>
    <w:rsid w:val="00B772B9"/>
    <w:rsid w:val="00B865C3"/>
    <w:rsid w:val="00B93CA4"/>
    <w:rsid w:val="00B95D3A"/>
    <w:rsid w:val="00BB210C"/>
    <w:rsid w:val="00BB35EB"/>
    <w:rsid w:val="00BB70E7"/>
    <w:rsid w:val="00BC0236"/>
    <w:rsid w:val="00BC2836"/>
    <w:rsid w:val="00BC4E00"/>
    <w:rsid w:val="00BC6977"/>
    <w:rsid w:val="00BD265B"/>
    <w:rsid w:val="00BD5980"/>
    <w:rsid w:val="00BD7C02"/>
    <w:rsid w:val="00BE3B45"/>
    <w:rsid w:val="00BE542E"/>
    <w:rsid w:val="00BE6048"/>
    <w:rsid w:val="00BF0407"/>
    <w:rsid w:val="00BF0419"/>
    <w:rsid w:val="00BF09FB"/>
    <w:rsid w:val="00C03294"/>
    <w:rsid w:val="00C05900"/>
    <w:rsid w:val="00C120E7"/>
    <w:rsid w:val="00C13787"/>
    <w:rsid w:val="00C15015"/>
    <w:rsid w:val="00C162D1"/>
    <w:rsid w:val="00C17815"/>
    <w:rsid w:val="00C2705F"/>
    <w:rsid w:val="00C32522"/>
    <w:rsid w:val="00C34157"/>
    <w:rsid w:val="00C353DD"/>
    <w:rsid w:val="00C3618B"/>
    <w:rsid w:val="00C37BEF"/>
    <w:rsid w:val="00C46C2A"/>
    <w:rsid w:val="00C57467"/>
    <w:rsid w:val="00C62CEF"/>
    <w:rsid w:val="00C65D82"/>
    <w:rsid w:val="00C66568"/>
    <w:rsid w:val="00C711FD"/>
    <w:rsid w:val="00C826F2"/>
    <w:rsid w:val="00C8357A"/>
    <w:rsid w:val="00C87A7D"/>
    <w:rsid w:val="00C94E22"/>
    <w:rsid w:val="00C95288"/>
    <w:rsid w:val="00CA3467"/>
    <w:rsid w:val="00CA7A82"/>
    <w:rsid w:val="00CB0DB2"/>
    <w:rsid w:val="00CB1694"/>
    <w:rsid w:val="00CB483C"/>
    <w:rsid w:val="00CC03DD"/>
    <w:rsid w:val="00CC2993"/>
    <w:rsid w:val="00CC34CE"/>
    <w:rsid w:val="00CC5F6D"/>
    <w:rsid w:val="00CD243D"/>
    <w:rsid w:val="00CD2843"/>
    <w:rsid w:val="00CD2BF9"/>
    <w:rsid w:val="00CD463C"/>
    <w:rsid w:val="00CD744E"/>
    <w:rsid w:val="00CE43D0"/>
    <w:rsid w:val="00CE68BC"/>
    <w:rsid w:val="00CE71FF"/>
    <w:rsid w:val="00CE7816"/>
    <w:rsid w:val="00CF1C2A"/>
    <w:rsid w:val="00CF21F6"/>
    <w:rsid w:val="00CF2AF9"/>
    <w:rsid w:val="00D01944"/>
    <w:rsid w:val="00D064B4"/>
    <w:rsid w:val="00D154D5"/>
    <w:rsid w:val="00D23E15"/>
    <w:rsid w:val="00D26724"/>
    <w:rsid w:val="00D33861"/>
    <w:rsid w:val="00D3655F"/>
    <w:rsid w:val="00D36D69"/>
    <w:rsid w:val="00D41F66"/>
    <w:rsid w:val="00D43278"/>
    <w:rsid w:val="00D4656C"/>
    <w:rsid w:val="00D473AD"/>
    <w:rsid w:val="00D5530C"/>
    <w:rsid w:val="00D5563D"/>
    <w:rsid w:val="00D57345"/>
    <w:rsid w:val="00D578AD"/>
    <w:rsid w:val="00D67231"/>
    <w:rsid w:val="00D72DF5"/>
    <w:rsid w:val="00D7341E"/>
    <w:rsid w:val="00D76FAE"/>
    <w:rsid w:val="00D77C5C"/>
    <w:rsid w:val="00D82148"/>
    <w:rsid w:val="00D8253D"/>
    <w:rsid w:val="00D83096"/>
    <w:rsid w:val="00D83C3E"/>
    <w:rsid w:val="00DA4EBC"/>
    <w:rsid w:val="00DA7DF4"/>
    <w:rsid w:val="00DB3544"/>
    <w:rsid w:val="00DC30D0"/>
    <w:rsid w:val="00DD48DD"/>
    <w:rsid w:val="00DE08C8"/>
    <w:rsid w:val="00DE4D24"/>
    <w:rsid w:val="00DE7F07"/>
    <w:rsid w:val="00DF2C42"/>
    <w:rsid w:val="00DF39BA"/>
    <w:rsid w:val="00DF4240"/>
    <w:rsid w:val="00DF6441"/>
    <w:rsid w:val="00DF6D96"/>
    <w:rsid w:val="00E027E4"/>
    <w:rsid w:val="00E03AD3"/>
    <w:rsid w:val="00E05A6D"/>
    <w:rsid w:val="00E17A3D"/>
    <w:rsid w:val="00E17EAC"/>
    <w:rsid w:val="00E269E9"/>
    <w:rsid w:val="00E27835"/>
    <w:rsid w:val="00E34522"/>
    <w:rsid w:val="00E364A5"/>
    <w:rsid w:val="00E36F00"/>
    <w:rsid w:val="00E46290"/>
    <w:rsid w:val="00E52045"/>
    <w:rsid w:val="00E52BEA"/>
    <w:rsid w:val="00E62FA4"/>
    <w:rsid w:val="00E66899"/>
    <w:rsid w:val="00E70F01"/>
    <w:rsid w:val="00E7268F"/>
    <w:rsid w:val="00E7456A"/>
    <w:rsid w:val="00E760F6"/>
    <w:rsid w:val="00E768D5"/>
    <w:rsid w:val="00E8285E"/>
    <w:rsid w:val="00E93E83"/>
    <w:rsid w:val="00E94B03"/>
    <w:rsid w:val="00E95FDE"/>
    <w:rsid w:val="00EA071F"/>
    <w:rsid w:val="00EB2056"/>
    <w:rsid w:val="00EB2AE3"/>
    <w:rsid w:val="00EB3C82"/>
    <w:rsid w:val="00EB544E"/>
    <w:rsid w:val="00EB734D"/>
    <w:rsid w:val="00EB7FBE"/>
    <w:rsid w:val="00EC2335"/>
    <w:rsid w:val="00EC5905"/>
    <w:rsid w:val="00EC5CD5"/>
    <w:rsid w:val="00EC7DDE"/>
    <w:rsid w:val="00ED1141"/>
    <w:rsid w:val="00ED1DC8"/>
    <w:rsid w:val="00ED32B5"/>
    <w:rsid w:val="00ED41AA"/>
    <w:rsid w:val="00ED576B"/>
    <w:rsid w:val="00ED6A87"/>
    <w:rsid w:val="00EE0F67"/>
    <w:rsid w:val="00EF1542"/>
    <w:rsid w:val="00EF1BCA"/>
    <w:rsid w:val="00EF2434"/>
    <w:rsid w:val="00EF7074"/>
    <w:rsid w:val="00EF79E5"/>
    <w:rsid w:val="00F0065A"/>
    <w:rsid w:val="00F037E9"/>
    <w:rsid w:val="00F03EC2"/>
    <w:rsid w:val="00F14C40"/>
    <w:rsid w:val="00F14E96"/>
    <w:rsid w:val="00F218F7"/>
    <w:rsid w:val="00F21E71"/>
    <w:rsid w:val="00F32D2A"/>
    <w:rsid w:val="00F342F5"/>
    <w:rsid w:val="00F365FB"/>
    <w:rsid w:val="00F469D7"/>
    <w:rsid w:val="00F46AFF"/>
    <w:rsid w:val="00F505CC"/>
    <w:rsid w:val="00F512AC"/>
    <w:rsid w:val="00F542FB"/>
    <w:rsid w:val="00F63863"/>
    <w:rsid w:val="00F66A86"/>
    <w:rsid w:val="00F72359"/>
    <w:rsid w:val="00F77F8B"/>
    <w:rsid w:val="00F8193C"/>
    <w:rsid w:val="00F828BA"/>
    <w:rsid w:val="00F87F0D"/>
    <w:rsid w:val="00F90A59"/>
    <w:rsid w:val="00FA3036"/>
    <w:rsid w:val="00FA4813"/>
    <w:rsid w:val="00FB4122"/>
    <w:rsid w:val="00FB5286"/>
    <w:rsid w:val="00FB6DF1"/>
    <w:rsid w:val="00FC4BA1"/>
    <w:rsid w:val="00FC52FB"/>
    <w:rsid w:val="00FD0C7E"/>
    <w:rsid w:val="00FD527B"/>
    <w:rsid w:val="00FE23DF"/>
    <w:rsid w:val="00FE293C"/>
    <w:rsid w:val="00FF4020"/>
    <w:rsid w:val="040636FF"/>
    <w:rsid w:val="094A4912"/>
    <w:rsid w:val="131A3A3F"/>
    <w:rsid w:val="13B67EAD"/>
    <w:rsid w:val="17D41E16"/>
    <w:rsid w:val="1BF57123"/>
    <w:rsid w:val="1F8A07F5"/>
    <w:rsid w:val="22FA71C8"/>
    <w:rsid w:val="2ED02035"/>
    <w:rsid w:val="35002744"/>
    <w:rsid w:val="3993339F"/>
    <w:rsid w:val="3EF2560B"/>
    <w:rsid w:val="45151FA8"/>
    <w:rsid w:val="48327F06"/>
    <w:rsid w:val="4E363299"/>
    <w:rsid w:val="55BB0D6D"/>
    <w:rsid w:val="5BE37BC3"/>
    <w:rsid w:val="6B681FC4"/>
    <w:rsid w:val="6F5760C7"/>
    <w:rsid w:val="7DD50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8"/>
    <w:autoRedefine/>
    <w:qFormat/>
    <w:uiPriority w:val="9"/>
    <w:pPr>
      <w:keepNext/>
      <w:keepLines/>
      <w:spacing w:before="260" w:after="260" w:line="413" w:lineRule="auto"/>
      <w:outlineLvl w:val="1"/>
    </w:pPr>
    <w:rPr>
      <w:rFonts w:ascii="Cambria" w:hAnsi="Cambria" w:eastAsia="宋体" w:cs="Times New Roman"/>
      <w:b/>
      <w:bCs/>
      <w:kern w:val="0"/>
      <w:sz w:val="32"/>
      <w:szCs w:val="32"/>
    </w:rPr>
  </w:style>
  <w:style w:type="paragraph" w:styleId="4">
    <w:name w:val="heading 3"/>
    <w:basedOn w:val="1"/>
    <w:next w:val="1"/>
    <w:link w:val="37"/>
    <w:autoRedefine/>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 w:val="28"/>
      <w:szCs w:val="20"/>
    </w:rPr>
  </w:style>
  <w:style w:type="paragraph" w:styleId="6">
    <w:name w:val="Document Map"/>
    <w:basedOn w:val="1"/>
    <w:link w:val="55"/>
    <w:qFormat/>
    <w:uiPriority w:val="99"/>
    <w:pPr>
      <w:shd w:val="clear" w:color="auto" w:fill="000080"/>
    </w:pPr>
    <w:rPr>
      <w:rFonts w:ascii="Times New Roman" w:hAnsi="Times New Roman" w:eastAsia="宋体" w:cs="Times New Roman"/>
      <w:kern w:val="0"/>
      <w:sz w:val="18"/>
      <w:szCs w:val="18"/>
    </w:rPr>
  </w:style>
  <w:style w:type="paragraph" w:styleId="7">
    <w:name w:val="annotation text"/>
    <w:basedOn w:val="1"/>
    <w:link w:val="42"/>
    <w:qFormat/>
    <w:uiPriority w:val="0"/>
    <w:pPr>
      <w:jc w:val="left"/>
    </w:pPr>
    <w:rPr>
      <w:rFonts w:ascii="Times New Roman" w:hAnsi="Times New Roman" w:eastAsia="宋体" w:cs="Times New Roman"/>
      <w:szCs w:val="20"/>
    </w:rPr>
  </w:style>
  <w:style w:type="paragraph" w:styleId="8">
    <w:name w:val="Body Text 3"/>
    <w:basedOn w:val="1"/>
    <w:link w:val="68"/>
    <w:qFormat/>
    <w:uiPriority w:val="0"/>
    <w:pPr>
      <w:spacing w:line="300" w:lineRule="exact"/>
    </w:pPr>
    <w:rPr>
      <w:rFonts w:ascii="宋体" w:hAnsi="Times New Roman" w:eastAsia="宋体" w:cs="Times New Roman"/>
      <w:color w:val="000000"/>
      <w:sz w:val="24"/>
      <w:szCs w:val="24"/>
    </w:rPr>
  </w:style>
  <w:style w:type="paragraph" w:styleId="9">
    <w:name w:val="Body Text Indent"/>
    <w:basedOn w:val="1"/>
    <w:link w:val="44"/>
    <w:qFormat/>
    <w:uiPriority w:val="0"/>
    <w:pPr>
      <w:spacing w:after="120"/>
      <w:ind w:left="420" w:leftChars="200"/>
    </w:pPr>
    <w:rPr>
      <w:rFonts w:ascii="Times New Roman" w:hAnsi="Times New Roman" w:eastAsia="宋体" w:cs="Times New Roman"/>
      <w:szCs w:val="24"/>
    </w:rPr>
  </w:style>
  <w:style w:type="paragraph" w:styleId="10">
    <w:name w:val="Plain Text"/>
    <w:basedOn w:val="1"/>
    <w:link w:val="57"/>
    <w:unhideWhenUsed/>
    <w:qFormat/>
    <w:uiPriority w:val="0"/>
    <w:rPr>
      <w:rFonts w:ascii="宋体" w:hAnsi="Courier New" w:eastAsia="宋体" w:cs="Times New Roman"/>
      <w:kern w:val="0"/>
      <w:sz w:val="20"/>
      <w:szCs w:val="20"/>
    </w:rPr>
  </w:style>
  <w:style w:type="paragraph" w:styleId="11">
    <w:name w:val="Body Text Indent 2"/>
    <w:basedOn w:val="1"/>
    <w:link w:val="53"/>
    <w:qFormat/>
    <w:uiPriority w:val="0"/>
    <w:pPr>
      <w:adjustRightInd w:val="0"/>
      <w:snapToGrid w:val="0"/>
      <w:spacing w:line="360" w:lineRule="auto"/>
      <w:ind w:firstLine="420" w:firstLineChars="200"/>
    </w:pPr>
    <w:rPr>
      <w:rFonts w:ascii="Times New Roman" w:hAnsi="Times New Roman" w:eastAsia="宋体" w:cs="Times New Roman"/>
      <w:szCs w:val="24"/>
    </w:rPr>
  </w:style>
  <w:style w:type="paragraph" w:styleId="12">
    <w:name w:val="Balloon Text"/>
    <w:basedOn w:val="1"/>
    <w:link w:val="40"/>
    <w:unhideWhenUsed/>
    <w:qFormat/>
    <w:uiPriority w:val="0"/>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szCs w:val="24"/>
    </w:rPr>
  </w:style>
  <w:style w:type="paragraph" w:styleId="16">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unhideWhenUsed/>
    <w:qFormat/>
    <w:uiPriority w:val="39"/>
    <w:pPr>
      <w:ind w:left="420" w:leftChars="200"/>
    </w:pPr>
    <w:rPr>
      <w:rFonts w:ascii="Times New Roman" w:hAnsi="Times New Roman" w:eastAsia="宋体" w:cs="Times New Roman"/>
      <w:szCs w:val="24"/>
    </w:rPr>
  </w:style>
  <w:style w:type="paragraph" w:styleId="18">
    <w:name w:val="Body Text 2"/>
    <w:basedOn w:val="1"/>
    <w:link w:val="69"/>
    <w:qFormat/>
    <w:uiPriority w:val="0"/>
    <w:pPr>
      <w:spacing w:after="120" w:line="480" w:lineRule="auto"/>
    </w:pPr>
    <w:rPr>
      <w:rFonts w:ascii="Times New Roman" w:hAnsi="Times New Roman" w:eastAsia="宋体" w:cs="Times New Roman"/>
      <w:szCs w:val="24"/>
    </w:rPr>
  </w:style>
  <w:style w:type="paragraph" w:styleId="19">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rPr>
  </w:style>
  <w:style w:type="paragraph" w:styleId="20">
    <w:name w:val="Normal (Web)"/>
    <w:basedOn w:val="1"/>
    <w:link w:val="39"/>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61"/>
    <w:autoRedefine/>
    <w:qFormat/>
    <w:uiPriority w:val="10"/>
    <w:pPr>
      <w:spacing w:before="240" w:after="60"/>
      <w:jc w:val="center"/>
      <w:outlineLvl w:val="0"/>
    </w:pPr>
    <w:rPr>
      <w:rFonts w:ascii="Cambria" w:hAnsi="Cambria" w:eastAsia="宋体" w:cs="Times New Roman"/>
      <w:b/>
      <w:kern w:val="0"/>
      <w:sz w:val="32"/>
      <w:szCs w:val="20"/>
    </w:rPr>
  </w:style>
  <w:style w:type="paragraph" w:styleId="22">
    <w:name w:val="annotation subject"/>
    <w:basedOn w:val="7"/>
    <w:next w:val="7"/>
    <w:link w:val="43"/>
    <w:autoRedefine/>
    <w:qFormat/>
    <w:uiPriority w:val="99"/>
    <w:rPr>
      <w:b/>
      <w:bCs/>
      <w:szCs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rPr>
      <w:rFonts w:cs="Times New Roman"/>
    </w:rPr>
  </w:style>
  <w:style w:type="character" w:styleId="28">
    <w:name w:val="Emphasis"/>
    <w:qFormat/>
    <w:uiPriority w:val="0"/>
    <w:rPr>
      <w:i/>
      <w:iCs/>
    </w:rPr>
  </w:style>
  <w:style w:type="character" w:styleId="29">
    <w:name w:val="HTML Typewriter"/>
    <w:autoRedefine/>
    <w:qFormat/>
    <w:uiPriority w:val="0"/>
    <w:rPr>
      <w:rFonts w:ascii="宋体" w:eastAsia="宋体" w:cs="宋体"/>
      <w:sz w:val="18"/>
      <w:szCs w:val="18"/>
      <w:lang w:bidi="ar-SA"/>
    </w:rPr>
  </w:style>
  <w:style w:type="character" w:styleId="30">
    <w:name w:val="Hyperlink"/>
    <w:qFormat/>
    <w:uiPriority w:val="99"/>
    <w:rPr>
      <w:color w:val="5C5C5C"/>
      <w:u w:val="none"/>
    </w:rPr>
  </w:style>
  <w:style w:type="character" w:styleId="31">
    <w:name w:val="annotation reference"/>
    <w:autoRedefine/>
    <w:qFormat/>
    <w:uiPriority w:val="99"/>
    <w:rPr>
      <w:sz w:val="21"/>
      <w:szCs w:val="21"/>
    </w:rPr>
  </w:style>
  <w:style w:type="character" w:styleId="32">
    <w:name w:val="HTML Cite"/>
    <w:qFormat/>
    <w:uiPriority w:val="0"/>
    <w:rPr>
      <w:color w:val="008000"/>
    </w:rPr>
  </w:style>
  <w:style w:type="character" w:customStyle="1" w:styleId="33">
    <w:name w:val="页眉 Char"/>
    <w:basedOn w:val="25"/>
    <w:link w:val="14"/>
    <w:qFormat/>
    <w:uiPriority w:val="99"/>
    <w:rPr>
      <w:sz w:val="18"/>
      <w:szCs w:val="18"/>
    </w:rPr>
  </w:style>
  <w:style w:type="character" w:customStyle="1" w:styleId="34">
    <w:name w:val="页脚 Char"/>
    <w:basedOn w:val="25"/>
    <w:link w:val="13"/>
    <w:autoRedefine/>
    <w:qFormat/>
    <w:uiPriority w:val="99"/>
    <w:rPr>
      <w:sz w:val="18"/>
      <w:szCs w:val="18"/>
    </w:rPr>
  </w:style>
  <w:style w:type="character" w:customStyle="1" w:styleId="35">
    <w:name w:val="标题 1 Char"/>
    <w:basedOn w:val="25"/>
    <w:link w:val="2"/>
    <w:qFormat/>
    <w:uiPriority w:val="9"/>
    <w:rPr>
      <w:rFonts w:ascii="宋体" w:hAnsi="宋体" w:eastAsia="宋体" w:cs="宋体"/>
      <w:b/>
      <w:bCs/>
      <w:kern w:val="36"/>
      <w:sz w:val="48"/>
      <w:szCs w:val="48"/>
    </w:rPr>
  </w:style>
  <w:style w:type="character" w:customStyle="1" w:styleId="36">
    <w:name w:val="标题 2 Char"/>
    <w:basedOn w:val="25"/>
    <w:semiHidden/>
    <w:qFormat/>
    <w:uiPriority w:val="9"/>
    <w:rPr>
      <w:rFonts w:asciiTheme="majorHAnsi" w:hAnsiTheme="majorHAnsi" w:eastAsiaTheme="majorEastAsia" w:cstheme="majorBidi"/>
      <w:b/>
      <w:bCs/>
      <w:sz w:val="32"/>
      <w:szCs w:val="32"/>
    </w:rPr>
  </w:style>
  <w:style w:type="character" w:customStyle="1" w:styleId="37">
    <w:name w:val="标题 3 Char"/>
    <w:basedOn w:val="25"/>
    <w:link w:val="4"/>
    <w:autoRedefine/>
    <w:qFormat/>
    <w:uiPriority w:val="9"/>
    <w:rPr>
      <w:rFonts w:ascii="宋体" w:hAnsi="宋体" w:eastAsia="宋体" w:cs="Times New Roman"/>
      <w:b/>
      <w:kern w:val="0"/>
      <w:sz w:val="27"/>
      <w:szCs w:val="27"/>
    </w:rPr>
  </w:style>
  <w:style w:type="character" w:customStyle="1" w:styleId="38">
    <w:name w:val="标题 2 Char1"/>
    <w:link w:val="3"/>
    <w:qFormat/>
    <w:uiPriority w:val="9"/>
    <w:rPr>
      <w:rFonts w:ascii="Cambria" w:hAnsi="Cambria" w:eastAsia="宋体" w:cs="Times New Roman"/>
      <w:b/>
      <w:bCs/>
      <w:kern w:val="0"/>
      <w:sz w:val="32"/>
      <w:szCs w:val="32"/>
    </w:rPr>
  </w:style>
  <w:style w:type="character" w:customStyle="1" w:styleId="39">
    <w:name w:val="普通(网站) Char"/>
    <w:link w:val="20"/>
    <w:autoRedefine/>
    <w:qFormat/>
    <w:uiPriority w:val="99"/>
    <w:rPr>
      <w:rFonts w:ascii="宋体" w:hAnsi="宋体" w:eastAsia="宋体" w:cs="宋体"/>
      <w:kern w:val="0"/>
      <w:sz w:val="24"/>
      <w:szCs w:val="24"/>
    </w:rPr>
  </w:style>
  <w:style w:type="character" w:customStyle="1" w:styleId="40">
    <w:name w:val="批注框文本 Char"/>
    <w:basedOn w:val="25"/>
    <w:link w:val="12"/>
    <w:qFormat/>
    <w:uiPriority w:val="0"/>
    <w:rPr>
      <w:sz w:val="18"/>
      <w:szCs w:val="18"/>
    </w:rPr>
  </w:style>
  <w:style w:type="paragraph" w:customStyle="1" w:styleId="41">
    <w:name w:val="列出段落1"/>
    <w:basedOn w:val="1"/>
    <w:autoRedefine/>
    <w:unhideWhenUsed/>
    <w:qFormat/>
    <w:uiPriority w:val="34"/>
    <w:pPr>
      <w:ind w:firstLine="420" w:firstLineChars="200"/>
    </w:pPr>
    <w:rPr>
      <w:rFonts w:ascii="Times New Roman" w:hAnsi="Times New Roman" w:eastAsia="宋体" w:cs="Times New Roman"/>
      <w:szCs w:val="20"/>
    </w:rPr>
  </w:style>
  <w:style w:type="character" w:customStyle="1" w:styleId="42">
    <w:name w:val="批注文字 Char"/>
    <w:basedOn w:val="25"/>
    <w:link w:val="7"/>
    <w:qFormat/>
    <w:uiPriority w:val="0"/>
    <w:rPr>
      <w:rFonts w:ascii="Times New Roman" w:hAnsi="Times New Roman" w:eastAsia="宋体" w:cs="Times New Roman"/>
      <w:szCs w:val="20"/>
    </w:rPr>
  </w:style>
  <w:style w:type="character" w:customStyle="1" w:styleId="43">
    <w:name w:val="批注主题 Char"/>
    <w:basedOn w:val="42"/>
    <w:link w:val="22"/>
    <w:qFormat/>
    <w:uiPriority w:val="99"/>
    <w:rPr>
      <w:rFonts w:ascii="Times New Roman" w:hAnsi="Times New Roman" w:eastAsia="宋体" w:cs="Times New Roman"/>
      <w:b/>
      <w:bCs/>
      <w:szCs w:val="24"/>
    </w:rPr>
  </w:style>
  <w:style w:type="character" w:customStyle="1" w:styleId="44">
    <w:name w:val="正文文本缩进 Char"/>
    <w:basedOn w:val="25"/>
    <w:link w:val="9"/>
    <w:autoRedefine/>
    <w:qFormat/>
    <w:uiPriority w:val="0"/>
    <w:rPr>
      <w:rFonts w:ascii="Times New Roman" w:hAnsi="Times New Roman" w:eastAsia="宋体" w:cs="Times New Roman"/>
      <w:szCs w:val="24"/>
    </w:rPr>
  </w:style>
  <w:style w:type="character" w:customStyle="1" w:styleId="45">
    <w:name w:val="表内容行距 Char Char"/>
    <w:link w:val="46"/>
    <w:qFormat/>
    <w:uiPriority w:val="0"/>
    <w:rPr>
      <w:rFonts w:eastAsia="方正书宋简体"/>
      <w:szCs w:val="21"/>
    </w:rPr>
  </w:style>
  <w:style w:type="paragraph" w:customStyle="1" w:styleId="46">
    <w:name w:val="表内容行距"/>
    <w:basedOn w:val="47"/>
    <w:link w:val="45"/>
    <w:qFormat/>
    <w:uiPriority w:val="0"/>
    <w:pPr>
      <w:spacing w:line="340" w:lineRule="exact"/>
    </w:pPr>
  </w:style>
  <w:style w:type="paragraph" w:customStyle="1" w:styleId="47">
    <w:name w:val="表内容"/>
    <w:basedOn w:val="1"/>
    <w:link w:val="48"/>
    <w:autoRedefine/>
    <w:qFormat/>
    <w:uiPriority w:val="0"/>
    <w:pPr>
      <w:spacing w:line="240" w:lineRule="exact"/>
      <w:ind w:firstLine="100" w:firstLineChars="100"/>
    </w:pPr>
    <w:rPr>
      <w:rFonts w:eastAsia="方正书宋简体"/>
      <w:szCs w:val="21"/>
    </w:rPr>
  </w:style>
  <w:style w:type="character" w:customStyle="1" w:styleId="48">
    <w:name w:val="表内容 Char Char"/>
    <w:link w:val="47"/>
    <w:qFormat/>
    <w:uiPriority w:val="0"/>
    <w:rPr>
      <w:rFonts w:eastAsia="方正书宋简体"/>
      <w:szCs w:val="21"/>
    </w:rPr>
  </w:style>
  <w:style w:type="character" w:customStyle="1" w:styleId="49">
    <w:name w:val="sub_noticeicon2"/>
    <w:qFormat/>
    <w:uiPriority w:val="0"/>
    <w:rPr>
      <w:rFonts w:hint="eastAsia" w:ascii="微软雅黑" w:hAnsi="微软雅黑" w:eastAsia="微软雅黑"/>
      <w:b/>
      <w:bCs/>
      <w:color w:val="077BD8"/>
      <w:sz w:val="23"/>
      <w:szCs w:val="23"/>
    </w:rPr>
  </w:style>
  <w:style w:type="character" w:customStyle="1" w:styleId="50">
    <w:name w:val="正文文本缩进 Char1"/>
    <w:autoRedefine/>
    <w:qFormat/>
    <w:uiPriority w:val="0"/>
    <w:rPr>
      <w:kern w:val="2"/>
      <w:sz w:val="21"/>
      <w:szCs w:val="24"/>
    </w:rPr>
  </w:style>
  <w:style w:type="paragraph" w:customStyle="1" w:styleId="51">
    <w:name w:val="样式5"/>
    <w:basedOn w:val="1"/>
    <w:qFormat/>
    <w:uiPriority w:val="0"/>
    <w:pPr>
      <w:adjustRightInd w:val="0"/>
      <w:snapToGrid w:val="0"/>
      <w:spacing w:line="310" w:lineRule="atLeast"/>
      <w:ind w:firstLine="425"/>
    </w:pPr>
    <w:rPr>
      <w:rFonts w:ascii="Arial" w:hAnsi="Arial" w:eastAsia="黑体" w:cs="Times New Roman"/>
      <w:szCs w:val="20"/>
    </w:rPr>
  </w:style>
  <w:style w:type="character" w:customStyle="1" w:styleId="52">
    <w:name w:val="批注主题 Char1"/>
    <w:qFormat/>
    <w:locked/>
    <w:uiPriority w:val="99"/>
    <w:rPr>
      <w:b/>
      <w:bCs/>
      <w:kern w:val="2"/>
      <w:sz w:val="21"/>
      <w:szCs w:val="24"/>
    </w:rPr>
  </w:style>
  <w:style w:type="character" w:customStyle="1" w:styleId="53">
    <w:name w:val="正文文本缩进 2 Char"/>
    <w:basedOn w:val="25"/>
    <w:link w:val="11"/>
    <w:autoRedefine/>
    <w:qFormat/>
    <w:uiPriority w:val="0"/>
    <w:rPr>
      <w:rFonts w:ascii="Times New Roman" w:hAnsi="Times New Roman" w:eastAsia="宋体" w:cs="Times New Roman"/>
      <w:szCs w:val="24"/>
    </w:rPr>
  </w:style>
  <w:style w:type="character" w:customStyle="1" w:styleId="54">
    <w:name w:val="文档结构图 Char"/>
    <w:basedOn w:val="25"/>
    <w:qFormat/>
    <w:uiPriority w:val="99"/>
    <w:rPr>
      <w:rFonts w:ascii="宋体" w:eastAsia="宋体"/>
      <w:sz w:val="18"/>
      <w:szCs w:val="18"/>
    </w:rPr>
  </w:style>
  <w:style w:type="character" w:customStyle="1" w:styleId="55">
    <w:name w:val="文档结构图 Char1"/>
    <w:link w:val="6"/>
    <w:qFormat/>
    <w:uiPriority w:val="99"/>
    <w:rPr>
      <w:rFonts w:ascii="Times New Roman" w:hAnsi="Times New Roman" w:eastAsia="宋体" w:cs="Times New Roman"/>
      <w:kern w:val="0"/>
      <w:sz w:val="18"/>
      <w:szCs w:val="18"/>
      <w:shd w:val="clear" w:color="auto" w:fill="000080"/>
    </w:rPr>
  </w:style>
  <w:style w:type="character" w:customStyle="1" w:styleId="56">
    <w:name w:val="纯文本 Char"/>
    <w:basedOn w:val="25"/>
    <w:autoRedefine/>
    <w:qFormat/>
    <w:uiPriority w:val="99"/>
    <w:rPr>
      <w:rFonts w:ascii="宋体" w:hAnsi="Courier New" w:eastAsia="宋体" w:cs="Courier New"/>
      <w:szCs w:val="21"/>
    </w:rPr>
  </w:style>
  <w:style w:type="character" w:customStyle="1" w:styleId="57">
    <w:name w:val="纯文本 Char1"/>
    <w:link w:val="10"/>
    <w:qFormat/>
    <w:uiPriority w:val="0"/>
    <w:rPr>
      <w:rFonts w:ascii="宋体" w:hAnsi="Courier New" w:eastAsia="宋体" w:cs="Times New Roman"/>
      <w:kern w:val="0"/>
      <w:sz w:val="20"/>
      <w:szCs w:val="20"/>
    </w:rPr>
  </w:style>
  <w:style w:type="character" w:customStyle="1" w:styleId="58">
    <w:name w:val="HTML 预设格式 Char"/>
    <w:basedOn w:val="25"/>
    <w:qFormat/>
    <w:uiPriority w:val="99"/>
    <w:rPr>
      <w:rFonts w:ascii="Courier New" w:hAnsi="Courier New" w:cs="Courier New"/>
      <w:sz w:val="20"/>
      <w:szCs w:val="20"/>
    </w:rPr>
  </w:style>
  <w:style w:type="character" w:customStyle="1" w:styleId="59">
    <w:name w:val="HTML 预设格式 Char1"/>
    <w:link w:val="19"/>
    <w:qFormat/>
    <w:uiPriority w:val="99"/>
    <w:rPr>
      <w:rFonts w:ascii="Courier New" w:hAnsi="Courier New" w:eastAsia="宋体" w:cs="Courier New"/>
      <w:kern w:val="0"/>
      <w:sz w:val="20"/>
      <w:szCs w:val="20"/>
    </w:rPr>
  </w:style>
  <w:style w:type="character" w:customStyle="1" w:styleId="60">
    <w:name w:val="标题 Char"/>
    <w:basedOn w:val="25"/>
    <w:qFormat/>
    <w:uiPriority w:val="10"/>
    <w:rPr>
      <w:rFonts w:eastAsia="宋体" w:asciiTheme="majorHAnsi" w:hAnsiTheme="majorHAnsi" w:cstheme="majorBidi"/>
      <w:b/>
      <w:bCs/>
      <w:sz w:val="32"/>
      <w:szCs w:val="32"/>
    </w:rPr>
  </w:style>
  <w:style w:type="character" w:customStyle="1" w:styleId="61">
    <w:name w:val="标题 Char1"/>
    <w:link w:val="21"/>
    <w:autoRedefine/>
    <w:qFormat/>
    <w:locked/>
    <w:uiPriority w:val="10"/>
    <w:rPr>
      <w:rFonts w:ascii="Cambria" w:hAnsi="Cambria" w:eastAsia="宋体" w:cs="Times New Roman"/>
      <w:b/>
      <w:kern w:val="0"/>
      <w:sz w:val="32"/>
      <w:szCs w:val="20"/>
    </w:rPr>
  </w:style>
  <w:style w:type="paragraph" w:customStyle="1" w:styleId="62">
    <w:name w:val="列出段落11"/>
    <w:basedOn w:val="1"/>
    <w:link w:val="63"/>
    <w:qFormat/>
    <w:uiPriority w:val="0"/>
    <w:pPr>
      <w:ind w:firstLine="420" w:firstLineChars="200"/>
    </w:pPr>
    <w:rPr>
      <w:rFonts w:ascii="Times New Roman" w:hAnsi="Times New Roman" w:eastAsia="宋体" w:cs="Times New Roman"/>
      <w:kern w:val="0"/>
      <w:sz w:val="24"/>
      <w:szCs w:val="20"/>
    </w:rPr>
  </w:style>
  <w:style w:type="character" w:customStyle="1" w:styleId="63">
    <w:name w:val="列出段落 Char"/>
    <w:link w:val="62"/>
    <w:qFormat/>
    <w:locked/>
    <w:uiPriority w:val="0"/>
    <w:rPr>
      <w:rFonts w:ascii="Times New Roman" w:hAnsi="Times New Roman" w:eastAsia="宋体" w:cs="Times New Roman"/>
      <w:kern w:val="0"/>
      <w:sz w:val="24"/>
      <w:szCs w:val="20"/>
    </w:rPr>
  </w:style>
  <w:style w:type="character" w:customStyle="1" w:styleId="64">
    <w:name w:val="Footer Char"/>
    <w:qFormat/>
    <w:locked/>
    <w:uiPriority w:val="0"/>
    <w:rPr>
      <w:rFonts w:cs="Times New Roman"/>
      <w:sz w:val="18"/>
      <w:szCs w:val="18"/>
    </w:rPr>
  </w:style>
  <w:style w:type="character" w:customStyle="1" w:styleId="65">
    <w:name w:val="apple-converted-space"/>
    <w:qFormat/>
    <w:uiPriority w:val="0"/>
  </w:style>
  <w:style w:type="character" w:customStyle="1" w:styleId="66">
    <w:name w:val="副标题 Char"/>
    <w:link w:val="16"/>
    <w:qFormat/>
    <w:uiPriority w:val="0"/>
    <w:rPr>
      <w:rFonts w:ascii="Cambria" w:hAnsi="Cambria"/>
      <w:b/>
      <w:bCs/>
      <w:kern w:val="28"/>
      <w:sz w:val="32"/>
      <w:szCs w:val="32"/>
    </w:rPr>
  </w:style>
  <w:style w:type="character" w:customStyle="1" w:styleId="67">
    <w:name w:val="副标题 Char1"/>
    <w:basedOn w:val="25"/>
    <w:qFormat/>
    <w:uiPriority w:val="0"/>
    <w:rPr>
      <w:rFonts w:eastAsia="宋体" w:asciiTheme="majorHAnsi" w:hAnsiTheme="majorHAnsi" w:cstheme="majorBidi"/>
      <w:b/>
      <w:bCs/>
      <w:kern w:val="28"/>
      <w:sz w:val="32"/>
      <w:szCs w:val="32"/>
    </w:rPr>
  </w:style>
  <w:style w:type="character" w:customStyle="1" w:styleId="68">
    <w:name w:val="正文文本 3 Char"/>
    <w:basedOn w:val="25"/>
    <w:link w:val="8"/>
    <w:qFormat/>
    <w:uiPriority w:val="0"/>
    <w:rPr>
      <w:rFonts w:ascii="宋体" w:hAnsi="Times New Roman" w:eastAsia="宋体" w:cs="Times New Roman"/>
      <w:color w:val="000000"/>
      <w:sz w:val="24"/>
      <w:szCs w:val="24"/>
    </w:rPr>
  </w:style>
  <w:style w:type="character" w:customStyle="1" w:styleId="69">
    <w:name w:val="正文文本 2 Char"/>
    <w:basedOn w:val="25"/>
    <w:link w:val="18"/>
    <w:qFormat/>
    <w:uiPriority w:val="0"/>
    <w:rPr>
      <w:rFonts w:ascii="Times New Roman" w:hAnsi="Times New Roman" w:eastAsia="宋体" w:cs="Times New Roman"/>
      <w:szCs w:val="24"/>
    </w:rPr>
  </w:style>
  <w:style w:type="paragraph" w:customStyle="1" w:styleId="70">
    <w:name w:val="reader-word-layer reader-word-s1-9"/>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71">
    <w:name w:val="表题"/>
    <w:basedOn w:val="1"/>
    <w:qFormat/>
    <w:uiPriority w:val="0"/>
    <w:pPr>
      <w:adjustRightInd w:val="0"/>
      <w:snapToGrid w:val="0"/>
      <w:spacing w:before="155" w:after="40" w:line="310" w:lineRule="atLeast"/>
      <w:jc w:val="center"/>
    </w:pPr>
    <w:rPr>
      <w:rFonts w:ascii="Arial" w:hAnsi="Arial" w:eastAsia="黑体" w:cs="Times New Roman"/>
      <w:szCs w:val="20"/>
    </w:rPr>
  </w:style>
  <w:style w:type="paragraph" w:customStyle="1" w:styleId="72">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styleId="73">
    <w:name w:val="List Paragraph"/>
    <w:basedOn w:val="1"/>
    <w:qFormat/>
    <w:uiPriority w:val="99"/>
    <w:pPr>
      <w:ind w:firstLine="200" w:firstLineChars="200"/>
    </w:pPr>
    <w:rPr>
      <w:rFonts w:ascii="Times New Roman" w:hAnsi="Times New Roman" w:eastAsia="宋体" w:cs="Times New Roman"/>
      <w:szCs w:val="24"/>
    </w:rPr>
  </w:style>
  <w:style w:type="paragraph" w:customStyle="1" w:styleId="74">
    <w:name w:val="TOC 标题1"/>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
    <w:name w:val="a"/>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76">
    <w:name w:val="标题4"/>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77">
    <w:name w:val="reader-word-layer reader-word-s2-27"/>
    <w:basedOn w:val="1"/>
    <w:qFormat/>
    <w:uiPriority w:val="99"/>
    <w:pPr>
      <w:widowControl/>
      <w:spacing w:before="100" w:beforeAutospacing="1" w:after="100" w:afterAutospacing="1"/>
      <w:jc w:val="left"/>
    </w:pPr>
    <w:rPr>
      <w:rFonts w:ascii="宋体" w:hAnsi="宋体" w:eastAsia="宋体" w:cs="宋体"/>
      <w:kern w:val="0"/>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样式1"/>
    <w:basedOn w:val="1"/>
    <w:qFormat/>
    <w:uiPriority w:val="0"/>
    <w:rPr>
      <w:rFonts w:ascii="Times New Roman" w:hAnsi="Times New Roman" w:eastAsia="宋体" w:cs="Times New Roman"/>
      <w:szCs w:val="24"/>
    </w:rPr>
  </w:style>
  <w:style w:type="paragraph" w:customStyle="1" w:styleId="80">
    <w:name w:val="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1">
    <w:name w:val="SF正文 Char"/>
    <w:basedOn w:val="1"/>
    <w:qFormat/>
    <w:uiPriority w:val="0"/>
    <w:pPr>
      <w:ind w:firstLine="200" w:firstLineChars="200"/>
    </w:pPr>
    <w:rPr>
      <w:rFonts w:ascii="Century Gothic" w:hAnsi="Century Gothic" w:eastAsia="宋体" w:cs="Times New Roman"/>
      <w:sz w:val="24"/>
      <w:szCs w:val="24"/>
    </w:rPr>
  </w:style>
  <w:style w:type="paragraph" w:customStyle="1" w:styleId="82">
    <w:name w:val="_Style 6"/>
    <w:basedOn w:val="1"/>
    <w:qFormat/>
    <w:uiPriority w:val="0"/>
    <w:pPr>
      <w:widowControl/>
      <w:spacing w:after="100" w:afterAutospacing="1" w:line="240" w:lineRule="exact"/>
      <w:jc w:val="left"/>
    </w:pPr>
    <w:rPr>
      <w:rFonts w:ascii="Times New Roman" w:hAnsi="Times New Roman" w:eastAsia="宋体" w:cs="Times New Roman"/>
      <w:szCs w:val="24"/>
    </w:rPr>
  </w:style>
  <w:style w:type="paragraph" w:customStyle="1" w:styleId="83">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84">
    <w:name w:val="页脚 Char1"/>
    <w:qFormat/>
    <w:locked/>
    <w:uiPriority w:val="99"/>
    <w:rPr>
      <w:sz w:val="18"/>
    </w:rPr>
  </w:style>
  <w:style w:type="character" w:customStyle="1" w:styleId="85">
    <w:name w:val="批注框文本 Char1"/>
    <w:qFormat/>
    <w:uiPriority w:val="99"/>
    <w:rPr>
      <w:sz w:val="18"/>
      <w:szCs w:val="18"/>
    </w:rPr>
  </w:style>
  <w:style w:type="character" w:customStyle="1" w:styleId="86">
    <w:name w:val="批注文字 Char1"/>
    <w:qFormat/>
    <w:locked/>
    <w:uiPriority w:val="99"/>
    <w:rPr>
      <w:sz w:val="24"/>
    </w:rPr>
  </w:style>
  <w:style w:type="character" w:customStyle="1" w:styleId="87">
    <w:name w:val="页眉 Char1"/>
    <w:qFormat/>
    <w:locked/>
    <w:uiPriority w:val="99"/>
    <w:rPr>
      <w:rFonts w:ascii="Calibri" w:hAnsi="Calibri" w:eastAsia="宋体"/>
      <w:sz w:val="18"/>
    </w:rPr>
  </w:style>
  <w:style w:type="character" w:customStyle="1" w:styleId="88">
    <w:name w:val="标题 Char2"/>
    <w:qFormat/>
    <w:uiPriority w:val="10"/>
    <w:rPr>
      <w:rFonts w:ascii="Cambria" w:hAnsi="Cambria" w:cs="黑体"/>
      <w:b/>
      <w:bCs/>
      <w:kern w:val="2"/>
      <w:sz w:val="32"/>
      <w:szCs w:val="32"/>
    </w:rPr>
  </w:style>
  <w:style w:type="character" w:customStyle="1" w:styleId="89">
    <w:name w:val="font11"/>
    <w:qFormat/>
    <w:uiPriority w:val="0"/>
    <w:rPr>
      <w:rFonts w:hint="eastAsia" w:ascii="宋体" w:hAnsi="宋体" w:eastAsia="宋体" w:cs="宋体"/>
      <w:color w:val="000000"/>
      <w:sz w:val="21"/>
      <w:szCs w:val="21"/>
      <w:u w:val="none"/>
    </w:rPr>
  </w:style>
  <w:style w:type="character" w:customStyle="1" w:styleId="90">
    <w:name w:val="param-value"/>
    <w:qFormat/>
    <w:uiPriority w:val="0"/>
  </w:style>
  <w:style w:type="character" w:customStyle="1" w:styleId="91">
    <w:name w:val="不明显强调1"/>
    <w:qFormat/>
    <w:uiPriority w:val="0"/>
    <w:rPr>
      <w:i/>
      <w:iCs/>
      <w:color w:val="808080"/>
    </w:rPr>
  </w:style>
  <w:style w:type="character" w:customStyle="1" w:styleId="92">
    <w:name w:val="_Style 2"/>
    <w:qFormat/>
    <w:uiPriority w:val="0"/>
    <w:rPr>
      <w:i/>
      <w:iCs/>
      <w:color w:val="808080"/>
    </w:rPr>
  </w:style>
  <w:style w:type="paragraph" w:customStyle="1" w:styleId="93">
    <w:name w:val="无间隔2"/>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C4-529D-4A0C-9BB6-BFFEA844541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1758</Words>
  <Characters>10021</Characters>
  <Lines>83</Lines>
  <Paragraphs>23</Paragraphs>
  <TotalTime>6</TotalTime>
  <ScaleCrop>false</ScaleCrop>
  <LinksUpToDate>false</LinksUpToDate>
  <CharactersWithSpaces>11756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2020-10-18T07:04:00Z</dcterms:created>
  <dc:creator>Windows 用户</dc:creator>
  <cp:lastModifiedBy>Administrator</cp:lastModifiedBy>
  <cp:lastPrinted>2021-04-07T02:19:00Z</cp:lastPrinted>
  <dcterms:modified xsi:type="dcterms:W3CDTF">2024-05-20T01:42:34Z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C9E71780770A4544A5D4E94D70A8F270_13</vt:lpwstr>
  </property>
</Properties>
</file>